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02873" w14:textId="77777777" w:rsidR="00D55A22" w:rsidRDefault="00D55A22" w:rsidP="00D55A22">
      <w:pPr>
        <w:pStyle w:val="Nadpis1"/>
        <w:jc w:val="center"/>
        <w:rPr>
          <w:sz w:val="48"/>
        </w:rPr>
      </w:pPr>
      <w:r>
        <w:rPr>
          <w:sz w:val="48"/>
        </w:rPr>
        <w:t>Komunita Ľudovítov, nezisková organizácia</w:t>
      </w:r>
    </w:p>
    <w:p w14:paraId="03BC77C8" w14:textId="77777777" w:rsidR="00BF6C28" w:rsidRPr="00BF6C28" w:rsidRDefault="00BF6C28" w:rsidP="00BF6C28">
      <w:pPr>
        <w:jc w:val="center"/>
        <w:rPr>
          <w:b/>
          <w:i/>
          <w:sz w:val="32"/>
          <w:szCs w:val="32"/>
          <w:lang w:eastAsia="sk-SK"/>
        </w:rPr>
      </w:pPr>
      <w:r w:rsidRPr="00BF6C28">
        <w:rPr>
          <w:b/>
          <w:i/>
          <w:sz w:val="32"/>
          <w:szCs w:val="32"/>
          <w:lang w:eastAsia="sk-SK"/>
        </w:rPr>
        <w:t>Centrum pre deti a rodiny s resocializačným programom</w:t>
      </w:r>
    </w:p>
    <w:p w14:paraId="704BE961" w14:textId="77777777" w:rsidR="00D55A22" w:rsidRPr="00BF6C28" w:rsidRDefault="00D55A22" w:rsidP="00BF6C28">
      <w:pPr>
        <w:ind w:left="360"/>
        <w:jc w:val="center"/>
        <w:rPr>
          <w:b/>
          <w:i/>
          <w:sz w:val="32"/>
          <w:szCs w:val="32"/>
        </w:rPr>
      </w:pPr>
    </w:p>
    <w:p w14:paraId="2B452824" w14:textId="77777777" w:rsidR="00D55A22" w:rsidRDefault="00D55A22" w:rsidP="00D55A22">
      <w:pPr>
        <w:ind w:left="360"/>
        <w:rPr>
          <w:sz w:val="96"/>
        </w:rPr>
      </w:pPr>
    </w:p>
    <w:p w14:paraId="1721A5A7" w14:textId="77777777" w:rsidR="00D55A22" w:rsidRDefault="00D55A22" w:rsidP="00D55A22">
      <w:pPr>
        <w:ind w:left="360"/>
        <w:rPr>
          <w:sz w:val="96"/>
        </w:rPr>
      </w:pPr>
    </w:p>
    <w:p w14:paraId="00DCB078" w14:textId="77777777" w:rsidR="00D55A22" w:rsidRDefault="00D55A22" w:rsidP="00D55A22">
      <w:pPr>
        <w:ind w:left="360"/>
        <w:rPr>
          <w:sz w:val="96"/>
        </w:rPr>
      </w:pPr>
    </w:p>
    <w:p w14:paraId="2D6A92EF" w14:textId="77777777" w:rsidR="00D55A22" w:rsidRDefault="00D55A22" w:rsidP="00D55A22">
      <w:pPr>
        <w:ind w:left="360"/>
        <w:jc w:val="center"/>
        <w:rPr>
          <w:sz w:val="96"/>
        </w:rPr>
      </w:pPr>
      <w:r>
        <w:rPr>
          <w:sz w:val="96"/>
        </w:rPr>
        <w:t>Výročná správa</w:t>
      </w:r>
    </w:p>
    <w:p w14:paraId="6C939C29" w14:textId="77777777" w:rsidR="00D55A22" w:rsidRDefault="00D55A22" w:rsidP="00D55A22">
      <w:pPr>
        <w:ind w:left="360"/>
        <w:jc w:val="center"/>
        <w:rPr>
          <w:sz w:val="96"/>
        </w:rPr>
      </w:pPr>
    </w:p>
    <w:p w14:paraId="75DAC538" w14:textId="77777777" w:rsidR="00D55A22" w:rsidRDefault="00007656" w:rsidP="00D55A22">
      <w:pPr>
        <w:ind w:left="360"/>
        <w:jc w:val="center"/>
        <w:rPr>
          <w:sz w:val="96"/>
        </w:rPr>
      </w:pPr>
      <w:r>
        <w:rPr>
          <w:sz w:val="96"/>
        </w:rPr>
        <w:t>201</w:t>
      </w:r>
      <w:r w:rsidR="00004052">
        <w:rPr>
          <w:sz w:val="96"/>
        </w:rPr>
        <w:t>9</w:t>
      </w:r>
    </w:p>
    <w:p w14:paraId="64CCE25D" w14:textId="77777777" w:rsidR="00D55A22" w:rsidRDefault="00D55A22" w:rsidP="00D55A22">
      <w:pPr>
        <w:ind w:left="360"/>
        <w:rPr>
          <w:sz w:val="96"/>
        </w:rPr>
      </w:pPr>
    </w:p>
    <w:p w14:paraId="2314EEB7" w14:textId="77777777" w:rsidR="00D55A22" w:rsidRDefault="00D55A22" w:rsidP="00D55A22">
      <w:pPr>
        <w:ind w:left="360"/>
        <w:rPr>
          <w:sz w:val="96"/>
        </w:rPr>
      </w:pPr>
    </w:p>
    <w:p w14:paraId="7516AFA7" w14:textId="77777777" w:rsidR="00D55A22" w:rsidRDefault="00D55A22" w:rsidP="00D55A22">
      <w:pPr>
        <w:ind w:left="360"/>
        <w:rPr>
          <w:sz w:val="96"/>
        </w:rPr>
      </w:pPr>
    </w:p>
    <w:p w14:paraId="025D9D52" w14:textId="77777777" w:rsidR="00D55A22" w:rsidRDefault="00D55A22" w:rsidP="00D55A22">
      <w:pPr>
        <w:pStyle w:val="Nadpis1"/>
      </w:pPr>
      <w:r>
        <w:t xml:space="preserve">MUDr. Karol Hollý           </w:t>
      </w:r>
      <w:r>
        <w:tab/>
      </w:r>
      <w:r>
        <w:tab/>
        <w:t>MUDr. Ľubomír Gábriš</w:t>
      </w:r>
    </w:p>
    <w:p w14:paraId="5C690BCF" w14:textId="77777777" w:rsidR="00D55A22" w:rsidRDefault="00D55A22" w:rsidP="00D55A22">
      <w:pPr>
        <w:ind w:left="360"/>
        <w:rPr>
          <w:sz w:val="36"/>
        </w:rPr>
      </w:pPr>
      <w:r>
        <w:rPr>
          <w:sz w:val="36"/>
        </w:rPr>
        <w:t>Predseda správnej rady                   Riaditeľ  RS</w:t>
      </w:r>
    </w:p>
    <w:p w14:paraId="44F6E6CF" w14:textId="77777777" w:rsidR="00D55A22" w:rsidRDefault="00D55A22" w:rsidP="00D55A22">
      <w:pPr>
        <w:ind w:left="360"/>
        <w:rPr>
          <w:sz w:val="36"/>
        </w:rPr>
      </w:pPr>
    </w:p>
    <w:p w14:paraId="4F015F2D" w14:textId="77777777" w:rsidR="00704B39" w:rsidRDefault="00704B39" w:rsidP="00D55A22">
      <w:pPr>
        <w:ind w:left="360"/>
        <w:rPr>
          <w:sz w:val="36"/>
        </w:rPr>
      </w:pPr>
    </w:p>
    <w:p w14:paraId="02AD223C" w14:textId="77777777" w:rsidR="00704B39" w:rsidRDefault="00704B39" w:rsidP="00D55A22">
      <w:pPr>
        <w:ind w:left="360"/>
        <w:rPr>
          <w:sz w:val="36"/>
        </w:rPr>
      </w:pPr>
    </w:p>
    <w:p w14:paraId="470705F4" w14:textId="77777777" w:rsidR="00BF6C28" w:rsidRDefault="00BF6C28" w:rsidP="00D55A22">
      <w:pPr>
        <w:ind w:left="360"/>
        <w:rPr>
          <w:sz w:val="36"/>
        </w:rPr>
      </w:pPr>
    </w:p>
    <w:p w14:paraId="737C3748" w14:textId="77777777" w:rsidR="00D55A22" w:rsidRDefault="00D55A22" w:rsidP="00D55A22">
      <w:pPr>
        <w:pStyle w:val="Nadpis1"/>
        <w:rPr>
          <w:sz w:val="28"/>
        </w:rPr>
      </w:pPr>
      <w:r>
        <w:rPr>
          <w:sz w:val="28"/>
        </w:rPr>
        <w:t>Základné údaje:</w:t>
      </w:r>
    </w:p>
    <w:p w14:paraId="7F61CD99" w14:textId="77777777" w:rsidR="00D55A22" w:rsidRDefault="00D55A22" w:rsidP="00D55A22">
      <w:pPr>
        <w:pStyle w:val="Nadpis1"/>
        <w:rPr>
          <w:b w:val="0"/>
          <w:bCs w:val="0"/>
          <w:i w:val="0"/>
          <w:iCs w:val="0"/>
          <w:sz w:val="28"/>
          <w:lang w:eastAsia="ar-SA"/>
        </w:rPr>
      </w:pPr>
    </w:p>
    <w:p w14:paraId="66195DF1" w14:textId="77777777" w:rsidR="00D55A22" w:rsidRDefault="00D55A22" w:rsidP="00F82D09">
      <w:pPr>
        <w:jc w:val="both"/>
        <w:rPr>
          <w:rFonts w:ascii="Cambria" w:hAnsi="Cambria"/>
        </w:rPr>
      </w:pPr>
      <w:r w:rsidRPr="002F7C56">
        <w:rPr>
          <w:rFonts w:ascii="Cambria" w:hAnsi="Cambria"/>
          <w:u w:val="single"/>
        </w:rPr>
        <w:t>Sídlo organizácie</w:t>
      </w:r>
      <w:r>
        <w:rPr>
          <w:rFonts w:ascii="Cambria" w:hAnsi="Cambria"/>
        </w:rPr>
        <w:t>:   časť Ľudovítov, Šopy 3, 941 11 Palárikovo</w:t>
      </w:r>
    </w:p>
    <w:p w14:paraId="7635CE06" w14:textId="77777777" w:rsidR="00D55A22" w:rsidRDefault="00D55A22" w:rsidP="00F82D09">
      <w:pPr>
        <w:jc w:val="both"/>
        <w:rPr>
          <w:rFonts w:ascii="Cambria" w:hAnsi="Cambria"/>
        </w:rPr>
      </w:pPr>
      <w:r w:rsidRPr="002F7C56">
        <w:rPr>
          <w:rFonts w:ascii="Cambria" w:hAnsi="Cambria"/>
          <w:u w:val="single"/>
        </w:rPr>
        <w:t>IČO</w:t>
      </w:r>
      <w:r>
        <w:rPr>
          <w:rFonts w:ascii="Cambria" w:hAnsi="Cambria"/>
        </w:rPr>
        <w:t>: 360 96 725      DIČ: 202 168 3774</w:t>
      </w:r>
    </w:p>
    <w:p w14:paraId="092DB677" w14:textId="77777777" w:rsidR="00F82D09" w:rsidRDefault="00F82D09" w:rsidP="00F82D09">
      <w:pPr>
        <w:rPr>
          <w:rFonts w:ascii="Cambria" w:hAnsi="Cambria"/>
        </w:rPr>
      </w:pPr>
      <w:r>
        <w:rPr>
          <w:rFonts w:ascii="Cambria" w:hAnsi="Cambria"/>
          <w:u w:val="single"/>
        </w:rPr>
        <w:t>Akreditácia</w:t>
      </w:r>
      <w:r w:rsidR="00AE271A">
        <w:rPr>
          <w:rFonts w:ascii="Cambria" w:hAnsi="Cambria"/>
        </w:rPr>
        <w:t xml:space="preserve"> na vykonávanie opatrení sociálnoprávnej ochrany detí a</w:t>
      </w:r>
      <w:r>
        <w:rPr>
          <w:rFonts w:ascii="Cambria" w:hAnsi="Cambria"/>
        </w:rPr>
        <w:t> </w:t>
      </w:r>
      <w:r w:rsidR="00AE271A">
        <w:rPr>
          <w:rFonts w:ascii="Cambria" w:hAnsi="Cambria"/>
        </w:rPr>
        <w:t>sociálnej</w:t>
      </w:r>
      <w:r>
        <w:rPr>
          <w:rFonts w:ascii="Cambria" w:hAnsi="Cambria"/>
        </w:rPr>
        <w:t xml:space="preserve"> </w:t>
      </w:r>
      <w:r w:rsidR="00AE271A">
        <w:rPr>
          <w:rFonts w:ascii="Cambria" w:hAnsi="Cambria"/>
        </w:rPr>
        <w:t xml:space="preserve">kurately </w:t>
      </w:r>
    </w:p>
    <w:p w14:paraId="39BDB77E" w14:textId="77777777" w:rsidR="00AE271A" w:rsidRDefault="00AE271A" w:rsidP="00F82D09">
      <w:pPr>
        <w:rPr>
          <w:rFonts w:ascii="Cambria" w:hAnsi="Cambria"/>
        </w:rPr>
      </w:pPr>
      <w:r>
        <w:rPr>
          <w:rFonts w:ascii="Cambria" w:hAnsi="Cambria"/>
        </w:rPr>
        <w:t xml:space="preserve">č. 14004/2006-I/21AK zo dňa 18.7.2006 </w:t>
      </w:r>
      <w:r w:rsidR="00F82D09">
        <w:rPr>
          <w:rFonts w:ascii="Cambria" w:hAnsi="Cambria"/>
        </w:rPr>
        <w:t xml:space="preserve">bola </w:t>
      </w:r>
      <w:proofErr w:type="spellStart"/>
      <w:r w:rsidR="00F82D09">
        <w:rPr>
          <w:rFonts w:ascii="Cambria" w:hAnsi="Cambria"/>
        </w:rPr>
        <w:t>predĺžená</w:t>
      </w:r>
      <w:r w:rsidRPr="00003DAC">
        <w:rPr>
          <w:rFonts w:ascii="Cambria" w:hAnsi="Cambria"/>
        </w:rPr>
        <w:t>s</w:t>
      </w:r>
      <w:proofErr w:type="spellEnd"/>
      <w:r w:rsidRPr="00003DAC">
        <w:rPr>
          <w:rFonts w:ascii="Cambria" w:hAnsi="Cambria"/>
        </w:rPr>
        <w:t> právoplatnosťou od 6.10.2016 na obdobie ďalších 5 rokov pre 66 klientov pod č. 14854/2016-M</w:t>
      </w:r>
      <w:r w:rsidR="000A220A" w:rsidRPr="00003DAC">
        <w:rPr>
          <w:rFonts w:ascii="Cambria" w:hAnsi="Cambria"/>
        </w:rPr>
        <w:t>_OSSODRAK</w:t>
      </w:r>
      <w:r w:rsidR="00F82D09">
        <w:rPr>
          <w:rFonts w:ascii="Cambria" w:hAnsi="Cambria"/>
        </w:rPr>
        <w:t>.</w:t>
      </w:r>
    </w:p>
    <w:p w14:paraId="3E352275" w14:textId="77777777" w:rsidR="00F82D09" w:rsidRDefault="00F82D09" w:rsidP="00F82D09">
      <w:pPr>
        <w:rPr>
          <w:rFonts w:ascii="Cambria" w:hAnsi="Cambria"/>
        </w:rPr>
      </w:pPr>
      <w:r>
        <w:rPr>
          <w:rFonts w:ascii="Cambria" w:hAnsi="Cambria"/>
        </w:rPr>
        <w:t xml:space="preserve">Rozhodnutím MPSVaR z 20.2.2019 sa zmenila kapacita Centra pre deti a rodiny na 47  </w:t>
      </w:r>
    </w:p>
    <w:p w14:paraId="1777B980" w14:textId="77777777" w:rsidR="00F82D09" w:rsidRDefault="00F82D09" w:rsidP="00F82D09">
      <w:pPr>
        <w:rPr>
          <w:rFonts w:ascii="Cambria" w:hAnsi="Cambria"/>
        </w:rPr>
      </w:pPr>
      <w:r>
        <w:rPr>
          <w:rFonts w:ascii="Cambria" w:hAnsi="Cambria"/>
        </w:rPr>
        <w:t>klientov podľa programu predloženého akreditačnej komisii ministerstva v štruktúre:</w:t>
      </w:r>
    </w:p>
    <w:p w14:paraId="6714128E" w14:textId="77777777" w:rsidR="00F82D09" w:rsidRDefault="00F82D09" w:rsidP="00F82D09">
      <w:pPr>
        <w:rPr>
          <w:rFonts w:ascii="Cambria" w:hAnsi="Cambria"/>
        </w:rPr>
      </w:pPr>
      <w:r>
        <w:rPr>
          <w:rFonts w:ascii="Cambria" w:hAnsi="Cambria"/>
        </w:rPr>
        <w:t xml:space="preserve">25 dospelých klientov Komunita Ľudovítov, 22 klientov Komunita Poloma v pomere 12  </w:t>
      </w:r>
    </w:p>
    <w:p w14:paraId="0818AE20" w14:textId="77777777" w:rsidR="00F82D09" w:rsidRPr="00003DAC" w:rsidRDefault="00F82D09" w:rsidP="00F82D09">
      <w:pPr>
        <w:rPr>
          <w:rFonts w:ascii="Cambria" w:hAnsi="Cambria"/>
        </w:rPr>
      </w:pPr>
      <w:r>
        <w:rPr>
          <w:rFonts w:ascii="Cambria" w:hAnsi="Cambria"/>
        </w:rPr>
        <w:t>detí a 10 plnoletých fyzických osôb.</w:t>
      </w:r>
    </w:p>
    <w:p w14:paraId="35DCC19D" w14:textId="77777777" w:rsidR="00D55A22" w:rsidRDefault="00D55A22" w:rsidP="00F82D09">
      <w:pPr>
        <w:jc w:val="both"/>
        <w:rPr>
          <w:rFonts w:ascii="Cambria" w:hAnsi="Cambria"/>
        </w:rPr>
      </w:pPr>
      <w:r>
        <w:rPr>
          <w:rFonts w:ascii="Cambria" w:hAnsi="Cambria"/>
        </w:rPr>
        <w:t>OKEČ: 85 310  Činnosti sociálnej pomoci s ubytovaním</w:t>
      </w:r>
    </w:p>
    <w:p w14:paraId="70FC8284" w14:textId="77777777" w:rsidR="00D55A22" w:rsidRDefault="00D55A22" w:rsidP="00F82D09">
      <w:p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Č.ú</w:t>
      </w:r>
      <w:proofErr w:type="spellEnd"/>
      <w:r>
        <w:rPr>
          <w:rFonts w:ascii="Cambria" w:hAnsi="Cambria"/>
        </w:rPr>
        <w:t xml:space="preserve">. : </w:t>
      </w:r>
      <w:r w:rsidR="00D6790E">
        <w:rPr>
          <w:rFonts w:ascii="Cambria" w:hAnsi="Cambria"/>
        </w:rPr>
        <w:t>SK151111000000</w:t>
      </w:r>
      <w:r>
        <w:rPr>
          <w:rFonts w:ascii="Cambria" w:hAnsi="Cambria"/>
        </w:rPr>
        <w:t>6619261025  UniCredit Bank</w:t>
      </w:r>
    </w:p>
    <w:p w14:paraId="22280408" w14:textId="77777777" w:rsidR="00F82D09" w:rsidRDefault="00F82D09" w:rsidP="00F82D09">
      <w:pPr>
        <w:jc w:val="both"/>
        <w:rPr>
          <w:rFonts w:ascii="Cambria" w:hAnsi="Cambria"/>
        </w:rPr>
      </w:pPr>
    </w:p>
    <w:p w14:paraId="742F66F8" w14:textId="77777777" w:rsidR="00D55A22" w:rsidRDefault="00D55A22" w:rsidP="00F82D09">
      <w:pPr>
        <w:jc w:val="both"/>
        <w:rPr>
          <w:rFonts w:ascii="Cambria" w:hAnsi="Cambria"/>
        </w:rPr>
      </w:pPr>
      <w:r>
        <w:rPr>
          <w:rFonts w:ascii="Cambria" w:hAnsi="Cambria"/>
        </w:rPr>
        <w:t>Štatutárny orgán – riaditeľ:  MUDr. Ľubomír Gábriš</w:t>
      </w:r>
    </w:p>
    <w:p w14:paraId="598E1D8C" w14:textId="77777777" w:rsidR="00D55A22" w:rsidRDefault="00D55A22" w:rsidP="00F82D09">
      <w:pPr>
        <w:jc w:val="both"/>
        <w:rPr>
          <w:rFonts w:ascii="Cambria" w:hAnsi="Cambria"/>
        </w:rPr>
      </w:pPr>
      <w:r>
        <w:rPr>
          <w:rFonts w:ascii="Cambria" w:hAnsi="Cambria"/>
        </w:rPr>
        <w:t>Predseda správnej rady: MUDr. Karol Hollý</w:t>
      </w:r>
    </w:p>
    <w:p w14:paraId="3C105B9A" w14:textId="77777777" w:rsidR="00F82D09" w:rsidRDefault="00F82D09" w:rsidP="00F82D09">
      <w:pPr>
        <w:jc w:val="both"/>
        <w:rPr>
          <w:rFonts w:ascii="Cambria" w:hAnsi="Cambria"/>
        </w:rPr>
      </w:pPr>
    </w:p>
    <w:p w14:paraId="5A96F152" w14:textId="77777777" w:rsidR="00BF6C28" w:rsidRDefault="00BF6C28" w:rsidP="00BF6C28">
      <w:pPr>
        <w:widowControl w:val="0"/>
        <w:jc w:val="both"/>
        <w:rPr>
          <w:rStyle w:val="apple-converted-space"/>
          <w:shd w:val="clear" w:color="auto" w:fill="FFFFFF"/>
        </w:rPr>
      </w:pPr>
      <w:r w:rsidRPr="008A4D67">
        <w:rPr>
          <w:rStyle w:val="apple-converted-space"/>
          <w:u w:val="single"/>
          <w:shd w:val="clear" w:color="auto" w:fill="FFFFFF"/>
        </w:rPr>
        <w:t>účel Centra</w:t>
      </w:r>
      <w:r>
        <w:rPr>
          <w:rStyle w:val="apple-converted-space"/>
          <w:shd w:val="clear" w:color="auto" w:fill="FFFFFF"/>
        </w:rPr>
        <w:t>: vykonávanie resocializačného programu na podporu sociálneho začlenenia dieťaťa alebo plnoletej fyzickej osoby závislých od alkoholu, drog alebo nelátkových závislostí pobytovou formou</w:t>
      </w:r>
    </w:p>
    <w:p w14:paraId="6BB4B07A" w14:textId="77777777" w:rsidR="00BF6C28" w:rsidRDefault="00BF6C28" w:rsidP="00BF6C28">
      <w:pPr>
        <w:widowControl w:val="0"/>
        <w:jc w:val="both"/>
        <w:rPr>
          <w:rStyle w:val="apple-converted-space"/>
          <w:shd w:val="clear" w:color="auto" w:fill="FFFFFF"/>
        </w:rPr>
      </w:pPr>
      <w:r w:rsidRPr="008A4D67">
        <w:rPr>
          <w:rStyle w:val="apple-converted-space"/>
          <w:u w:val="single"/>
          <w:shd w:val="clear" w:color="auto" w:fill="FFFFFF"/>
        </w:rPr>
        <w:t>opis cieľovej skupiny</w:t>
      </w:r>
      <w:r>
        <w:rPr>
          <w:rStyle w:val="apple-converted-space"/>
          <w:shd w:val="clear" w:color="auto" w:fill="FFFFFF"/>
        </w:rPr>
        <w:t xml:space="preserve">: -muži a ženy od 18 rokov závislí od alkoholu, drog alebo hazardných </w:t>
      </w:r>
    </w:p>
    <w:p w14:paraId="0DE3226C" w14:textId="77777777" w:rsidR="00BF6C28" w:rsidRPr="004C37AD" w:rsidRDefault="00BF6C28" w:rsidP="00BF6C28">
      <w:pPr>
        <w:widowControl w:val="0"/>
        <w:jc w:val="both"/>
        <w:rPr>
          <w:rStyle w:val="apple-converted-space"/>
          <w:color w:val="FF0000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hier, internetu, počítačových a iných hier</w:t>
      </w:r>
    </w:p>
    <w:p w14:paraId="5DAC4480" w14:textId="77777777" w:rsidR="00BF6C28" w:rsidRDefault="00BF6C28" w:rsidP="00BF6C28">
      <w:pPr>
        <w:widowControl w:val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-dievčatá a chlapci od 15 - 18 rokov závislí od alkoholu, drog alebo </w:t>
      </w:r>
    </w:p>
    <w:p w14:paraId="34CCD657" w14:textId="77777777" w:rsidR="00BF6C28" w:rsidRPr="004C37AD" w:rsidRDefault="00BF6C28" w:rsidP="00BF6C28">
      <w:pPr>
        <w:widowControl w:val="0"/>
        <w:jc w:val="both"/>
        <w:rPr>
          <w:rStyle w:val="apple-converted-space"/>
          <w:color w:val="FF0000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hazardných  hier, internetu, počítačových a iných hier</w:t>
      </w:r>
    </w:p>
    <w:p w14:paraId="31479A67" w14:textId="77777777" w:rsidR="00BF6C28" w:rsidRDefault="00BF6C28" w:rsidP="00BF6C28">
      <w:pPr>
        <w:widowControl w:val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-dievčatá a chlapci od 15 – 18 rokov, ktorým pobyt v centre uložil súd</w:t>
      </w:r>
    </w:p>
    <w:p w14:paraId="22FB303F" w14:textId="77777777" w:rsidR="00BF6C28" w:rsidRDefault="00F82D09" w:rsidP="00F82D09">
      <w:pPr>
        <w:widowControl w:val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</w:t>
      </w:r>
      <w:r w:rsidR="00BF6C28">
        <w:rPr>
          <w:rStyle w:val="apple-converted-space"/>
          <w:shd w:val="clear" w:color="auto" w:fill="FFFFFF"/>
        </w:rPr>
        <w:t xml:space="preserve"> neodkladným opatrením vo veci uloženia výchovného opatrenia alebo </w:t>
      </w:r>
    </w:p>
    <w:p w14:paraId="197697A9" w14:textId="77777777" w:rsidR="00BF6C28" w:rsidRDefault="00F82D09" w:rsidP="00F82D09">
      <w:pPr>
        <w:widowControl w:val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</w:t>
      </w:r>
      <w:r w:rsidR="00BF6C28">
        <w:rPr>
          <w:rStyle w:val="apple-converted-space"/>
          <w:shd w:val="clear" w:color="auto" w:fill="FFFFFF"/>
        </w:rPr>
        <w:t xml:space="preserve"> výchovným opatrením </w:t>
      </w:r>
    </w:p>
    <w:p w14:paraId="75A4FFC4" w14:textId="77777777" w:rsidR="00BF6C28" w:rsidRDefault="00BF6C28" w:rsidP="00BF6C28">
      <w:pPr>
        <w:widowControl w:val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u w:val="single"/>
          <w:shd w:val="clear" w:color="auto" w:fill="FFFFFF"/>
        </w:rPr>
        <w:t>Od 1.4.2018 v súlade s novelou zákona 305/2005</w:t>
      </w:r>
      <w:r w:rsidR="003C4465">
        <w:rPr>
          <w:rStyle w:val="apple-converted-space"/>
          <w:u w:val="single"/>
          <w:shd w:val="clear" w:color="auto" w:fill="FFFFFF"/>
        </w:rPr>
        <w:t xml:space="preserve"> </w:t>
      </w:r>
      <w:proofErr w:type="spellStart"/>
      <w:r w:rsidR="003C4465">
        <w:rPr>
          <w:rStyle w:val="apple-converted-space"/>
          <w:u w:val="single"/>
          <w:shd w:val="clear" w:color="auto" w:fill="FFFFFF"/>
        </w:rPr>
        <w:t>Z.z</w:t>
      </w:r>
      <w:proofErr w:type="spellEnd"/>
      <w:r w:rsidR="003C4465">
        <w:rPr>
          <w:rStyle w:val="apple-converted-space"/>
          <w:u w:val="single"/>
          <w:shd w:val="clear" w:color="auto" w:fill="FFFFFF"/>
        </w:rPr>
        <w:t xml:space="preserve">. a vyhláškou 103/2018 boli platné nasledovné </w:t>
      </w:r>
      <w:r w:rsidRPr="00997C0B">
        <w:rPr>
          <w:rStyle w:val="apple-converted-space"/>
          <w:u w:val="single"/>
          <w:shd w:val="clear" w:color="auto" w:fill="FFFFFF"/>
        </w:rPr>
        <w:t>podmienky prijatia</w:t>
      </w:r>
      <w:r>
        <w:rPr>
          <w:rStyle w:val="apple-converted-space"/>
          <w:shd w:val="clear" w:color="auto" w:fill="FFFFFF"/>
        </w:rPr>
        <w:t>:</w:t>
      </w:r>
    </w:p>
    <w:p w14:paraId="55F4E615" w14:textId="77777777" w:rsidR="00BF6C28" w:rsidRPr="000B1186" w:rsidRDefault="00BF6C28" w:rsidP="00BF6C28">
      <w:pPr>
        <w:pStyle w:val="Odsekzoznamu"/>
        <w:widowControl w:val="0"/>
        <w:numPr>
          <w:ilvl w:val="0"/>
          <w:numId w:val="2"/>
        </w:numPr>
        <w:suppressAutoHyphens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Vek klienta od 15 rokov</w:t>
      </w:r>
    </w:p>
    <w:p w14:paraId="2F2B926A" w14:textId="77777777" w:rsidR="00BF6C28" w:rsidRDefault="00BF6C28" w:rsidP="00BF6C28">
      <w:pPr>
        <w:pStyle w:val="Odsekzoznamu"/>
        <w:widowControl w:val="0"/>
        <w:numPr>
          <w:ilvl w:val="0"/>
          <w:numId w:val="2"/>
        </w:numPr>
        <w:suppressAutoHyphens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Odporúčanie psychiatra na pobyt v resocializačnom centre</w:t>
      </w:r>
    </w:p>
    <w:p w14:paraId="359CBDBB" w14:textId="77777777" w:rsidR="00BF6C28" w:rsidRDefault="00BF6C28" w:rsidP="00BF6C28">
      <w:pPr>
        <w:pStyle w:val="Odsekzoznamu"/>
        <w:widowControl w:val="0"/>
        <w:numPr>
          <w:ilvl w:val="0"/>
          <w:numId w:val="2"/>
        </w:numPr>
        <w:suppressAutoHyphens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Odporúčanie orgánu sociálnoprávnej ochrany detí a sociálnej kurately</w:t>
      </w:r>
    </w:p>
    <w:p w14:paraId="592784E0" w14:textId="77777777" w:rsidR="00BF6C28" w:rsidRDefault="00BF6C28" w:rsidP="00BF6C28">
      <w:pPr>
        <w:pStyle w:val="Odsekzoznamu"/>
        <w:widowControl w:val="0"/>
        <w:numPr>
          <w:ilvl w:val="0"/>
          <w:numId w:val="2"/>
        </w:numPr>
        <w:suppressAutoHyphens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Schopnosť klienta porozumieť programu centra, akceptovať ho a byť ochotný   </w:t>
      </w:r>
    </w:p>
    <w:p w14:paraId="5C216C53" w14:textId="77777777" w:rsidR="00BF6C28" w:rsidRDefault="00BF6C28" w:rsidP="00BF6C28">
      <w:pPr>
        <w:pStyle w:val="Odsekzoznamu"/>
        <w:widowControl w:val="0"/>
        <w:suppressAutoHyphens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k stanoveniu spoločných cieľov individuálneho resocializačného plánu</w:t>
      </w:r>
    </w:p>
    <w:p w14:paraId="09459C06" w14:textId="77777777" w:rsidR="00BF6C28" w:rsidRPr="003D4B56" w:rsidRDefault="00BF6C28" w:rsidP="00BF6C28">
      <w:pPr>
        <w:pStyle w:val="Odsekzoznamu"/>
        <w:widowControl w:val="0"/>
        <w:numPr>
          <w:ilvl w:val="0"/>
          <w:numId w:val="2"/>
        </w:numPr>
        <w:suppressAutoHyphens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spolupráca rodiny klienta ( najmä v prípade maloletého klienta)</w:t>
      </w:r>
    </w:p>
    <w:p w14:paraId="4E7F4CEC" w14:textId="77777777" w:rsidR="00BF6C28" w:rsidRDefault="00BF6C28" w:rsidP="00BF6C28">
      <w:pPr>
        <w:widowControl w:val="0"/>
        <w:jc w:val="both"/>
        <w:rPr>
          <w:rStyle w:val="apple-converted-space"/>
          <w:shd w:val="clear" w:color="auto" w:fill="FFFFFF"/>
        </w:rPr>
      </w:pPr>
    </w:p>
    <w:p w14:paraId="04B6E32A" w14:textId="77777777" w:rsidR="00BF6C28" w:rsidRPr="00384A4D" w:rsidRDefault="00BF6C28" w:rsidP="00BF6C28">
      <w:pPr>
        <w:widowControl w:val="0"/>
        <w:jc w:val="both"/>
        <w:rPr>
          <w:rStyle w:val="apple-converted-space"/>
          <w:shd w:val="clear" w:color="auto" w:fill="FFFFFF"/>
        </w:rPr>
      </w:pPr>
      <w:r w:rsidRPr="008A4D67">
        <w:rPr>
          <w:rStyle w:val="apple-converted-space"/>
          <w:u w:val="single"/>
          <w:shd w:val="clear" w:color="auto" w:fill="FFFFFF"/>
        </w:rPr>
        <w:t>dôvody vylučujúce vykonávanie opatrení v Centre</w:t>
      </w:r>
      <w:r>
        <w:rPr>
          <w:rStyle w:val="apple-converted-space"/>
          <w:shd w:val="clear" w:color="auto" w:fill="FFFFFF"/>
        </w:rPr>
        <w:t xml:space="preserve">: </w:t>
      </w:r>
    </w:p>
    <w:p w14:paraId="7735652C" w14:textId="77777777" w:rsidR="00BF6C28" w:rsidRDefault="00BF6C28" w:rsidP="00BF6C28">
      <w:pPr>
        <w:pStyle w:val="Odsekzoznamu"/>
        <w:widowControl w:val="0"/>
        <w:numPr>
          <w:ilvl w:val="0"/>
          <w:numId w:val="1"/>
        </w:numPr>
        <w:suppressAutoHyphens/>
        <w:ind w:left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maloletý klient neabsolvoval pred nástupom do centra štvortýždňovú hospitalizáciu na psychiatrickom oddelení a nemá odporúčanie detského psychiatra k pobytu</w:t>
      </w:r>
    </w:p>
    <w:p w14:paraId="56773B8C" w14:textId="77777777" w:rsidR="00BF6C28" w:rsidRDefault="00BF6C28" w:rsidP="00BF6C28">
      <w:pPr>
        <w:pStyle w:val="Odsekzoznamu"/>
        <w:widowControl w:val="0"/>
        <w:numPr>
          <w:ilvl w:val="0"/>
          <w:numId w:val="1"/>
        </w:numPr>
        <w:suppressAutoHyphens/>
        <w:ind w:left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klient nedodržiava pravidlá obsiahnuté v programe Centra </w:t>
      </w:r>
    </w:p>
    <w:p w14:paraId="37345FB9" w14:textId="77777777" w:rsidR="00BF6C28" w:rsidRDefault="00BF6C28" w:rsidP="00BF6C28">
      <w:pPr>
        <w:pStyle w:val="Odsekzoznamu"/>
        <w:widowControl w:val="0"/>
        <w:numPr>
          <w:ilvl w:val="0"/>
          <w:numId w:val="1"/>
        </w:numPr>
        <w:suppressAutoHyphens/>
        <w:ind w:left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klient sa bez uvedenia dôvodu nevráti v určenom čase z pobytu mimo Centra</w:t>
      </w:r>
    </w:p>
    <w:p w14:paraId="6F490B54" w14:textId="77777777" w:rsidR="00BF6C28" w:rsidRDefault="00BF6C28" w:rsidP="00BF6C28">
      <w:pPr>
        <w:pStyle w:val="Odsekzoznamu"/>
        <w:widowControl w:val="0"/>
        <w:numPr>
          <w:ilvl w:val="0"/>
          <w:numId w:val="1"/>
        </w:numPr>
        <w:suppressAutoHyphens/>
        <w:ind w:left="0"/>
        <w:jc w:val="both"/>
        <w:rPr>
          <w:rStyle w:val="apple-converted-space"/>
          <w:shd w:val="clear" w:color="auto" w:fill="FFFFFF"/>
        </w:rPr>
      </w:pPr>
      <w:r w:rsidRPr="00BC383F">
        <w:rPr>
          <w:rStyle w:val="apple-converted-space"/>
          <w:shd w:val="clear" w:color="auto" w:fill="FFFFFF"/>
        </w:rPr>
        <w:t>závažné zdravotné problémy klienta, ktoré nemožno zvládnuť v podmienkach Centra</w:t>
      </w:r>
      <w:r>
        <w:rPr>
          <w:rStyle w:val="apple-converted-space"/>
          <w:shd w:val="clear" w:color="auto" w:fill="FFFFFF"/>
        </w:rPr>
        <w:t>:</w:t>
      </w:r>
      <w:r w:rsidRPr="00BC383F">
        <w:rPr>
          <w:rStyle w:val="apple-converted-space"/>
          <w:shd w:val="clear" w:color="auto" w:fill="FFFFFF"/>
        </w:rPr>
        <w:t xml:space="preserve"> </w:t>
      </w:r>
    </w:p>
    <w:p w14:paraId="60448E86" w14:textId="77777777" w:rsidR="00BF6C28" w:rsidRDefault="00BF6C28" w:rsidP="00BF6C28">
      <w:pPr>
        <w:pStyle w:val="Odsekzoznamu"/>
        <w:widowControl w:val="0"/>
        <w:suppressAutoHyphens/>
        <w:ind w:left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* </w:t>
      </w:r>
      <w:r w:rsidRPr="00BC383F">
        <w:rPr>
          <w:rStyle w:val="apple-converted-space"/>
          <w:shd w:val="clear" w:color="auto" w:fill="FFFFFF"/>
        </w:rPr>
        <w:t>infekčné ochorenia</w:t>
      </w:r>
      <w:r>
        <w:rPr>
          <w:rStyle w:val="apple-converted-space"/>
          <w:shd w:val="clear" w:color="auto" w:fill="FFFFFF"/>
        </w:rPr>
        <w:t xml:space="preserve"> typu HIV, HCV (riziko ohrozenia vzhľadom na nízku mieru zodpovednosti ostatných klientov často s duálnymi diagnózami)</w:t>
      </w:r>
      <w:r w:rsidRPr="00BC383F">
        <w:rPr>
          <w:rStyle w:val="apple-converted-space"/>
          <w:shd w:val="clear" w:color="auto" w:fill="FFFFFF"/>
        </w:rPr>
        <w:t xml:space="preserve">, </w:t>
      </w:r>
    </w:p>
    <w:p w14:paraId="411C9202" w14:textId="77777777" w:rsidR="00BF6C28" w:rsidRDefault="00BF6C28" w:rsidP="00BF6C28">
      <w:pPr>
        <w:pStyle w:val="Odsekzoznamu"/>
        <w:widowControl w:val="0"/>
        <w:suppressAutoHyphens/>
        <w:ind w:left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* </w:t>
      </w:r>
      <w:r w:rsidRPr="00BC383F">
        <w:rPr>
          <w:rStyle w:val="apple-converted-space"/>
          <w:shd w:val="clear" w:color="auto" w:fill="FFFFFF"/>
        </w:rPr>
        <w:t xml:space="preserve">zmyslové </w:t>
      </w:r>
      <w:r w:rsidR="00F20B38">
        <w:rPr>
          <w:rStyle w:val="apple-converted-space"/>
          <w:shd w:val="clear" w:color="auto" w:fill="FFFFFF"/>
        </w:rPr>
        <w:t>postihnutie</w:t>
      </w:r>
      <w:r>
        <w:rPr>
          <w:rStyle w:val="apple-converted-space"/>
          <w:shd w:val="clear" w:color="auto" w:fill="FFFFFF"/>
        </w:rPr>
        <w:t xml:space="preserve"> (nevidiaci klient, nemý</w:t>
      </w:r>
      <w:r w:rsidRPr="00BC383F">
        <w:rPr>
          <w:rStyle w:val="apple-converted-space"/>
          <w:shd w:val="clear" w:color="auto" w:fill="FFFFFF"/>
        </w:rPr>
        <w:t>,</w:t>
      </w:r>
      <w:r>
        <w:rPr>
          <w:rStyle w:val="apple-converted-space"/>
          <w:shd w:val="clear" w:color="auto" w:fill="FFFFFF"/>
        </w:rPr>
        <w:t xml:space="preserve"> nepočujúci)</w:t>
      </w:r>
    </w:p>
    <w:p w14:paraId="001A1CB7" w14:textId="77777777" w:rsidR="00BF6C28" w:rsidRDefault="00BF6C28" w:rsidP="00BF6C28">
      <w:pPr>
        <w:pStyle w:val="Odsekzoznamu"/>
        <w:widowControl w:val="0"/>
        <w:suppressAutoHyphens/>
        <w:ind w:left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* zdravotný postih vyžadujúci bezbariérový prístup klienta</w:t>
      </w:r>
    </w:p>
    <w:p w14:paraId="04CC3E9F" w14:textId="77777777" w:rsidR="00BF6C28" w:rsidRDefault="00BF6C28" w:rsidP="00BF6C28">
      <w:pPr>
        <w:pStyle w:val="Odsekzoznamu"/>
        <w:widowControl w:val="0"/>
        <w:numPr>
          <w:ilvl w:val="0"/>
          <w:numId w:val="1"/>
        </w:numPr>
        <w:suppressAutoHyphens/>
        <w:ind w:left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aktuálne silne pod vplyvom návykovej látky, tento stav znemožní, aby s plným vedomím prijal podmienky resocializačného programu - na overenie podozrenia je centrum oprávnené </w:t>
      </w:r>
      <w:r>
        <w:rPr>
          <w:rStyle w:val="apple-converted-space"/>
          <w:shd w:val="clear" w:color="auto" w:fill="FFFFFF"/>
        </w:rPr>
        <w:lastRenderedPageBreak/>
        <w:t>požadovať od klienta aktuálne lekárske vyšetrenie krvi alebo iného biologického materiálu poskytovateľom zdravotnej starostlivosti</w:t>
      </w:r>
    </w:p>
    <w:p w14:paraId="2A8B1EB3" w14:textId="77777777" w:rsidR="003C4465" w:rsidRDefault="003C4465" w:rsidP="00F82D09">
      <w:pPr>
        <w:pStyle w:val="Odsekzoznamu"/>
        <w:widowControl w:val="0"/>
        <w:suppressAutoHyphens/>
        <w:ind w:left="0"/>
        <w:jc w:val="both"/>
        <w:rPr>
          <w:rStyle w:val="apple-converted-space"/>
          <w:shd w:val="clear" w:color="auto" w:fill="FFFFFF"/>
        </w:rPr>
      </w:pPr>
    </w:p>
    <w:p w14:paraId="36257F12" w14:textId="77777777" w:rsidR="00BF6C28" w:rsidRDefault="00BF6C28" w:rsidP="00BF6C28">
      <w:pPr>
        <w:pStyle w:val="Odsekzoznamu"/>
        <w:widowControl w:val="0"/>
        <w:suppressAutoHyphens/>
        <w:ind w:left="0"/>
        <w:jc w:val="both"/>
        <w:rPr>
          <w:rStyle w:val="apple-converted-space"/>
          <w:shd w:val="clear" w:color="auto" w:fill="FFFFFF"/>
        </w:rPr>
      </w:pPr>
    </w:p>
    <w:p w14:paraId="5788B87B" w14:textId="77777777" w:rsidR="00C11D1C" w:rsidRDefault="00C11D1C" w:rsidP="00BF6C28">
      <w:pPr>
        <w:pStyle w:val="Odsekzoznamu"/>
        <w:widowControl w:val="0"/>
        <w:suppressAutoHyphens/>
        <w:ind w:left="0"/>
        <w:jc w:val="both"/>
        <w:rPr>
          <w:rStyle w:val="apple-converted-space"/>
          <w:shd w:val="clear" w:color="auto" w:fill="FFFFFF"/>
        </w:rPr>
      </w:pPr>
    </w:p>
    <w:p w14:paraId="331A2E3C" w14:textId="77777777" w:rsidR="006A3AB5" w:rsidRPr="00B71490" w:rsidRDefault="006A3AB5" w:rsidP="006A3AB5">
      <w:pPr>
        <w:widowControl w:val="0"/>
        <w:jc w:val="both"/>
        <w:rPr>
          <w:rStyle w:val="apple-converted-space"/>
          <w:u w:val="single"/>
          <w:shd w:val="clear" w:color="auto" w:fill="FFFFFF"/>
        </w:rPr>
      </w:pPr>
      <w:r w:rsidRPr="00B71490">
        <w:rPr>
          <w:rStyle w:val="apple-converted-space"/>
          <w:u w:val="single"/>
          <w:shd w:val="clear" w:color="auto" w:fill="FFFFFF"/>
        </w:rPr>
        <w:t xml:space="preserve">Odborné metódy práce s klientom </w:t>
      </w:r>
      <w:r w:rsidR="00DC4A1D">
        <w:rPr>
          <w:rStyle w:val="apple-converted-space"/>
          <w:u w:val="single"/>
          <w:shd w:val="clear" w:color="auto" w:fill="FFFFFF"/>
        </w:rPr>
        <w:t>centra v roku 201</w:t>
      </w:r>
      <w:r w:rsidR="00004052">
        <w:rPr>
          <w:rStyle w:val="apple-converted-space"/>
          <w:u w:val="single"/>
          <w:shd w:val="clear" w:color="auto" w:fill="FFFFFF"/>
        </w:rPr>
        <w:t>9</w:t>
      </w:r>
      <w:r w:rsidRPr="00B71490">
        <w:rPr>
          <w:rStyle w:val="apple-converted-space"/>
          <w:u w:val="single"/>
          <w:shd w:val="clear" w:color="auto" w:fill="FFFFFF"/>
        </w:rPr>
        <w:t>:</w:t>
      </w:r>
    </w:p>
    <w:p w14:paraId="0E6C8EB0" w14:textId="77777777" w:rsidR="006A3AB5" w:rsidRDefault="006A3AB5" w:rsidP="006A3AB5">
      <w:pPr>
        <w:widowControl w:val="0"/>
        <w:jc w:val="both"/>
        <w:rPr>
          <w:rStyle w:val="apple-converted-space"/>
          <w:b/>
          <w:u w:val="single"/>
          <w:shd w:val="clear" w:color="auto" w:fill="FFFFFF"/>
        </w:rPr>
      </w:pPr>
    </w:p>
    <w:p w14:paraId="75AAB613" w14:textId="77777777" w:rsidR="00147E1F" w:rsidRDefault="006A3AB5" w:rsidP="006A3AB5">
      <w:pPr>
        <w:widowControl w:val="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b/>
          <w:i/>
          <w:shd w:val="clear" w:color="auto" w:fill="FFFFFF"/>
        </w:rPr>
        <w:t>Individuálna sociálna práca</w:t>
      </w:r>
      <w:r>
        <w:rPr>
          <w:rStyle w:val="apple-converted-space"/>
          <w:shd w:val="clear" w:color="auto" w:fill="FFFFFF"/>
        </w:rPr>
        <w:t xml:space="preserve"> </w:t>
      </w:r>
      <w:r w:rsidR="00952C20">
        <w:rPr>
          <w:rStyle w:val="apple-converted-space"/>
          <w:shd w:val="clear" w:color="auto" w:fill="FFFFFF"/>
        </w:rPr>
        <w:t>- priebežne</w:t>
      </w:r>
    </w:p>
    <w:p w14:paraId="3117E353" w14:textId="77777777" w:rsidR="006A3AB5" w:rsidRDefault="006A3AB5" w:rsidP="006A3AB5">
      <w:pPr>
        <w:widowControl w:val="0"/>
        <w:jc w:val="both"/>
        <w:rPr>
          <w:shd w:val="clear" w:color="auto" w:fill="FFFFFF"/>
        </w:rPr>
      </w:pPr>
      <w:r w:rsidRPr="00782CBD">
        <w:rPr>
          <w:b/>
          <w:i/>
          <w:shd w:val="clear" w:color="auto" w:fill="FFFFFF"/>
        </w:rPr>
        <w:t>Individuáln</w:t>
      </w:r>
      <w:r>
        <w:rPr>
          <w:b/>
          <w:i/>
          <w:shd w:val="clear" w:color="auto" w:fill="FFFFFF"/>
        </w:rPr>
        <w:t>a</w:t>
      </w:r>
      <w:r w:rsidRPr="00782CBD">
        <w:rPr>
          <w:b/>
          <w:i/>
          <w:shd w:val="clear" w:color="auto" w:fill="FFFFFF"/>
        </w:rPr>
        <w:t xml:space="preserve"> psychologická diagnostika a</w:t>
      </w:r>
      <w:r>
        <w:rPr>
          <w:b/>
          <w:i/>
          <w:shd w:val="clear" w:color="auto" w:fill="FFFFFF"/>
        </w:rPr>
        <w:t> </w:t>
      </w:r>
      <w:r w:rsidRPr="00782CBD">
        <w:rPr>
          <w:b/>
          <w:i/>
          <w:shd w:val="clear" w:color="auto" w:fill="FFFFFF"/>
        </w:rPr>
        <w:t>poradenstvo</w:t>
      </w:r>
      <w:r>
        <w:rPr>
          <w:b/>
          <w:i/>
          <w:shd w:val="clear" w:color="auto" w:fill="FFFFFF"/>
        </w:rPr>
        <w:t xml:space="preserve"> </w:t>
      </w:r>
      <w:r w:rsidR="00952C20">
        <w:rPr>
          <w:rStyle w:val="apple-converted-space"/>
          <w:shd w:val="clear" w:color="auto" w:fill="FFFFFF"/>
        </w:rPr>
        <w:t>priebežne</w:t>
      </w:r>
    </w:p>
    <w:p w14:paraId="7C78BAB2" w14:textId="77777777" w:rsidR="006A3AB5" w:rsidRPr="00782CBD" w:rsidRDefault="006A3AB5" w:rsidP="006A3AB5">
      <w:pPr>
        <w:widowControl w:val="0"/>
        <w:jc w:val="both"/>
        <w:rPr>
          <w:shd w:val="clear" w:color="auto" w:fill="FFFFFF"/>
        </w:rPr>
      </w:pPr>
      <w:r>
        <w:rPr>
          <w:b/>
          <w:i/>
          <w:shd w:val="clear" w:color="auto" w:fill="FFFFFF"/>
        </w:rPr>
        <w:t>Individuálne pedagogické vedenie</w:t>
      </w:r>
      <w:r>
        <w:rPr>
          <w:shd w:val="clear" w:color="auto" w:fill="FFFFFF"/>
        </w:rPr>
        <w:t xml:space="preserve"> </w:t>
      </w:r>
      <w:r w:rsidR="00952C20">
        <w:rPr>
          <w:rStyle w:val="apple-converted-space"/>
          <w:shd w:val="clear" w:color="auto" w:fill="FFFFFF"/>
        </w:rPr>
        <w:t>priebežne</w:t>
      </w:r>
    </w:p>
    <w:p w14:paraId="3E9F2CCF" w14:textId="77777777" w:rsidR="006A3AB5" w:rsidRDefault="006A3AB5" w:rsidP="00DC4A1D">
      <w:pPr>
        <w:widowControl w:val="0"/>
        <w:jc w:val="both"/>
        <w:rPr>
          <w:lang w:eastAsia="sk-SK"/>
        </w:rPr>
      </w:pPr>
      <w:r>
        <w:rPr>
          <w:b/>
          <w:i/>
          <w:shd w:val="clear" w:color="auto" w:fill="FFFFFF"/>
        </w:rPr>
        <w:t xml:space="preserve">Skupinová sociálna práca </w:t>
      </w:r>
      <w:r w:rsidR="00147E1F">
        <w:rPr>
          <w:b/>
          <w:i/>
          <w:shd w:val="clear" w:color="auto" w:fill="FFFFFF"/>
        </w:rPr>
        <w:t xml:space="preserve">- </w:t>
      </w:r>
      <w:r>
        <w:rPr>
          <w:lang w:eastAsia="sk-SK"/>
        </w:rPr>
        <w:t xml:space="preserve"> </w:t>
      </w:r>
      <w:r w:rsidR="00147E1F">
        <w:rPr>
          <w:lang w:eastAsia="sk-SK"/>
        </w:rPr>
        <w:t xml:space="preserve">má </w:t>
      </w:r>
      <w:r>
        <w:rPr>
          <w:lang w:eastAsia="sk-SK"/>
        </w:rPr>
        <w:t xml:space="preserve">svoje ďalšie variácie </w:t>
      </w:r>
      <w:r w:rsidR="00952C20">
        <w:rPr>
          <w:lang w:eastAsia="sk-SK"/>
        </w:rPr>
        <w:t>realizované priebežne:</w:t>
      </w:r>
    </w:p>
    <w:p w14:paraId="7B86DBA2" w14:textId="7073E5A0" w:rsidR="006A3AB5" w:rsidRDefault="00952C20" w:rsidP="006A3AB5">
      <w:pPr>
        <w:shd w:val="clear" w:color="auto" w:fill="FFFFFF"/>
        <w:spacing w:after="225" w:line="306" w:lineRule="atLeast"/>
        <w:jc w:val="both"/>
        <w:rPr>
          <w:lang w:eastAsia="sk-SK"/>
        </w:rPr>
      </w:pPr>
      <w:r>
        <w:rPr>
          <w:b/>
          <w:i/>
          <w:lang w:eastAsia="sk-SK"/>
        </w:rPr>
        <w:t>s</w:t>
      </w:r>
      <w:r w:rsidR="006A3AB5" w:rsidRPr="004F02D3">
        <w:rPr>
          <w:b/>
          <w:i/>
          <w:lang w:eastAsia="sk-SK"/>
        </w:rPr>
        <w:t>kupinové poradenstvo</w:t>
      </w:r>
      <w:r w:rsidR="00147E1F" w:rsidRPr="00147E1F">
        <w:rPr>
          <w:i/>
          <w:iCs/>
          <w:lang w:eastAsia="sk-SK"/>
        </w:rPr>
        <w:t xml:space="preserve">, </w:t>
      </w:r>
      <w:proofErr w:type="spellStart"/>
      <w:r w:rsidR="00147E1F" w:rsidRPr="00147E1F">
        <w:rPr>
          <w:i/>
          <w:iCs/>
          <w:lang w:eastAsia="sk-SK"/>
        </w:rPr>
        <w:t>p</w:t>
      </w:r>
      <w:r w:rsidR="006A3AB5" w:rsidRPr="00147E1F">
        <w:rPr>
          <w:b/>
          <w:bCs/>
          <w:i/>
          <w:iCs/>
          <w:lang w:eastAsia="sk-SK"/>
        </w:rPr>
        <w:t>redprestupové</w:t>
      </w:r>
      <w:proofErr w:type="spellEnd"/>
      <w:r w:rsidR="006A3AB5" w:rsidRPr="00DC4A1D">
        <w:rPr>
          <w:b/>
          <w:bCs/>
          <w:i/>
          <w:lang w:eastAsia="sk-SK"/>
        </w:rPr>
        <w:t xml:space="preserve"> a prestupové skupiny</w:t>
      </w:r>
      <w:r w:rsidR="00147E1F">
        <w:rPr>
          <w:b/>
          <w:bCs/>
          <w:i/>
          <w:lang w:eastAsia="sk-SK"/>
        </w:rPr>
        <w:t>, f</w:t>
      </w:r>
      <w:r w:rsidR="006A3AB5" w:rsidRPr="00DC4A1D">
        <w:rPr>
          <w:b/>
          <w:i/>
          <w:lang w:eastAsia="sk-SK"/>
        </w:rPr>
        <w:t>ázové skupiny</w:t>
      </w:r>
      <w:r w:rsidR="00147E1F">
        <w:rPr>
          <w:lang w:eastAsia="sk-SK"/>
        </w:rPr>
        <w:t xml:space="preserve">, </w:t>
      </w:r>
      <w:proofErr w:type="spellStart"/>
      <w:r w:rsidR="00147E1F" w:rsidRPr="00147E1F">
        <w:rPr>
          <w:b/>
          <w:bCs/>
          <w:i/>
          <w:iCs/>
          <w:lang w:eastAsia="sk-SK"/>
        </w:rPr>
        <w:t>t</w:t>
      </w:r>
      <w:r w:rsidR="006A3AB5" w:rsidRPr="00147E1F">
        <w:rPr>
          <w:b/>
          <w:bCs/>
          <w:i/>
          <w:iCs/>
          <w:lang w:eastAsia="sk-SK"/>
        </w:rPr>
        <w:t>é</w:t>
      </w:r>
      <w:r w:rsidR="006A3AB5" w:rsidRPr="00DC4A1D">
        <w:rPr>
          <w:b/>
          <w:bCs/>
          <w:i/>
          <w:lang w:eastAsia="sk-SK"/>
        </w:rPr>
        <w:t>matické</w:t>
      </w:r>
      <w:proofErr w:type="spellEnd"/>
      <w:r w:rsidR="006A3AB5" w:rsidRPr="00DC4A1D">
        <w:rPr>
          <w:b/>
          <w:bCs/>
          <w:i/>
          <w:lang w:eastAsia="sk-SK"/>
        </w:rPr>
        <w:t xml:space="preserve"> skupiny</w:t>
      </w:r>
      <w:r w:rsidR="00147E1F">
        <w:rPr>
          <w:b/>
          <w:bCs/>
          <w:i/>
          <w:lang w:eastAsia="sk-SK"/>
        </w:rPr>
        <w:t xml:space="preserve">, </w:t>
      </w:r>
      <w:proofErr w:type="spellStart"/>
      <w:r w:rsidR="00147E1F">
        <w:rPr>
          <w:b/>
          <w:bCs/>
          <w:i/>
          <w:lang w:eastAsia="sk-SK"/>
        </w:rPr>
        <w:t>s</w:t>
      </w:r>
      <w:r w:rsidR="006A3AB5" w:rsidRPr="00DC4A1D">
        <w:rPr>
          <w:b/>
          <w:bCs/>
          <w:i/>
          <w:lang w:eastAsia="sk-SK"/>
        </w:rPr>
        <w:t>amoriadiace</w:t>
      </w:r>
      <w:proofErr w:type="spellEnd"/>
      <w:r w:rsidR="006A3AB5" w:rsidRPr="00DC4A1D">
        <w:rPr>
          <w:b/>
          <w:bCs/>
          <w:i/>
          <w:lang w:eastAsia="sk-SK"/>
        </w:rPr>
        <w:t xml:space="preserve"> skupiny</w:t>
      </w:r>
      <w:r w:rsidR="00147E1F">
        <w:rPr>
          <w:b/>
          <w:bCs/>
          <w:i/>
          <w:lang w:eastAsia="sk-SK"/>
        </w:rPr>
        <w:t xml:space="preserve">, </w:t>
      </w:r>
      <w:proofErr w:type="spellStart"/>
      <w:r w:rsidR="00147E1F">
        <w:rPr>
          <w:b/>
          <w:bCs/>
          <w:i/>
          <w:lang w:eastAsia="sk-SK"/>
        </w:rPr>
        <w:t>m</w:t>
      </w:r>
      <w:r w:rsidR="006A3AB5" w:rsidRPr="00DC4A1D">
        <w:rPr>
          <w:b/>
          <w:bCs/>
          <w:i/>
          <w:lang w:eastAsia="sk-SK"/>
        </w:rPr>
        <w:t>eetingy</w:t>
      </w:r>
      <w:proofErr w:type="spellEnd"/>
      <w:r w:rsidR="006A3AB5" w:rsidRPr="00DC4A1D">
        <w:rPr>
          <w:b/>
          <w:bCs/>
          <w:i/>
          <w:lang w:eastAsia="sk-SK"/>
        </w:rPr>
        <w:t xml:space="preserve"> </w:t>
      </w:r>
      <w:r w:rsidR="00473C91">
        <w:rPr>
          <w:b/>
          <w:bCs/>
          <w:i/>
          <w:lang w:eastAsia="sk-SK"/>
        </w:rPr>
        <w:t>a</w:t>
      </w:r>
      <w:r w:rsidR="006A3AB5" w:rsidRPr="00DC4A1D">
        <w:rPr>
          <w:b/>
          <w:bCs/>
          <w:i/>
          <w:lang w:eastAsia="sk-SK"/>
        </w:rPr>
        <w:t>nonymných alkoholikov</w:t>
      </w:r>
      <w:r>
        <w:rPr>
          <w:b/>
          <w:bCs/>
          <w:i/>
          <w:lang w:eastAsia="sk-SK"/>
        </w:rPr>
        <w:t xml:space="preserve"> a</w:t>
      </w:r>
      <w:r w:rsidR="006A3AB5" w:rsidRPr="00DC4A1D">
        <w:rPr>
          <w:b/>
          <w:bCs/>
          <w:i/>
          <w:lang w:eastAsia="sk-SK"/>
        </w:rPr>
        <w:t xml:space="preserve"> narkomanov</w:t>
      </w:r>
    </w:p>
    <w:p w14:paraId="7FA4DF44" w14:textId="77777777" w:rsidR="00952C20" w:rsidRDefault="006A3AB5" w:rsidP="00481446">
      <w:pPr>
        <w:jc w:val="both"/>
        <w:rPr>
          <w:lang w:eastAsia="sk-SK"/>
        </w:rPr>
      </w:pPr>
      <w:r w:rsidRPr="00DC4A1D">
        <w:rPr>
          <w:b/>
          <w:i/>
          <w:shd w:val="clear" w:color="auto" w:fill="FFFFFF"/>
          <w:lang w:eastAsia="sk-SK"/>
        </w:rPr>
        <w:t>Práca s rodinou klienta</w:t>
      </w:r>
      <w:r w:rsidR="00DC4A1D">
        <w:rPr>
          <w:b/>
          <w:i/>
          <w:shd w:val="clear" w:color="auto" w:fill="FFFFFF"/>
          <w:lang w:eastAsia="sk-SK"/>
        </w:rPr>
        <w:t xml:space="preserve"> - </w:t>
      </w:r>
      <w:r w:rsidR="00952C20" w:rsidRPr="00952C20">
        <w:rPr>
          <w:bCs/>
          <w:i/>
          <w:shd w:val="clear" w:color="auto" w:fill="FFFFFF"/>
          <w:lang w:eastAsia="sk-SK"/>
        </w:rPr>
        <w:t>v</w:t>
      </w:r>
      <w:r w:rsidRPr="00952C20">
        <w:rPr>
          <w:bCs/>
          <w:lang w:eastAsia="sk-SK"/>
        </w:rPr>
        <w:t> </w:t>
      </w:r>
      <w:r>
        <w:rPr>
          <w:lang w:eastAsia="sk-SK"/>
        </w:rPr>
        <w:t>rámci rodičovských skupín</w:t>
      </w:r>
      <w:r w:rsidR="00481446">
        <w:rPr>
          <w:lang w:eastAsia="sk-SK"/>
        </w:rPr>
        <w:t xml:space="preserve"> organizovaných 1x mesačne v obidvoch komunitách alebo pobytovo na viac dní</w:t>
      </w:r>
      <w:r w:rsidR="00952C20">
        <w:rPr>
          <w:lang w:eastAsia="sk-SK"/>
        </w:rPr>
        <w:t>, v r. 2019 bolo realizovaných 5 viacdňových pobytov v Ždiari, Červenom Kláštore a Vysokých Tatrách</w:t>
      </w:r>
    </w:p>
    <w:p w14:paraId="731638FF" w14:textId="77777777" w:rsidR="00952C20" w:rsidRDefault="00481446" w:rsidP="003A3F77">
      <w:pPr>
        <w:jc w:val="both"/>
        <w:rPr>
          <w:rFonts w:eastAsia="Lucida Sans Unicode"/>
          <w:b/>
          <w:bCs/>
          <w:i/>
        </w:rPr>
      </w:pPr>
      <w:r w:rsidRPr="00481446">
        <w:rPr>
          <w:rFonts w:eastAsia="Lucida Sans Unicode"/>
          <w:b/>
          <w:bCs/>
          <w:i/>
        </w:rPr>
        <w:t>Pracovné aktivity</w:t>
      </w:r>
      <w:r w:rsidR="00952C20">
        <w:rPr>
          <w:rFonts w:eastAsia="Lucida Sans Unicode"/>
          <w:b/>
          <w:bCs/>
          <w:i/>
        </w:rPr>
        <w:t xml:space="preserve"> </w:t>
      </w:r>
      <w:r w:rsidR="00952C20" w:rsidRPr="00952C20">
        <w:rPr>
          <w:rFonts w:eastAsia="Lucida Sans Unicode"/>
          <w:iCs/>
        </w:rPr>
        <w:t>– priebežne práce v záhrade, pri zvieratách, domáce práce, práce s drevom</w:t>
      </w:r>
    </w:p>
    <w:p w14:paraId="3695943C" w14:textId="293EFDF5" w:rsidR="003A3F77" w:rsidRDefault="00D55A22" w:rsidP="003A3F77">
      <w:pPr>
        <w:jc w:val="both"/>
      </w:pPr>
      <w:r w:rsidRPr="003A3F77">
        <w:rPr>
          <w:b/>
          <w:i/>
        </w:rPr>
        <w:t>Športov</w:t>
      </w:r>
      <w:r w:rsidR="003D4864" w:rsidRPr="003A3F77">
        <w:rPr>
          <w:b/>
          <w:i/>
        </w:rPr>
        <w:t>é aktivity</w:t>
      </w:r>
      <w:r w:rsidR="00473C91">
        <w:rPr>
          <w:b/>
          <w:i/>
        </w:rPr>
        <w:t xml:space="preserve"> -</w:t>
      </w:r>
      <w:r w:rsidR="003A3F77">
        <w:t xml:space="preserve"> </w:t>
      </w:r>
      <w:r w:rsidR="00952C20">
        <w:t xml:space="preserve">v roku 2019 okrem pravidelných aktivít v komunitách </w:t>
      </w:r>
      <w:r w:rsidR="003A3F77">
        <w:t>k</w:t>
      </w:r>
      <w:r>
        <w:t xml:space="preserve">lienti </w:t>
      </w:r>
      <w:r w:rsidR="00952C20">
        <w:t>a</w:t>
      </w:r>
      <w:r w:rsidR="00E9551D">
        <w:t xml:space="preserve">bsolvovali viacero turnajov so študentmi </w:t>
      </w:r>
      <w:r w:rsidR="003125FD">
        <w:t>SOŠ drevárskej</w:t>
      </w:r>
      <w:r w:rsidR="003A3F77">
        <w:t xml:space="preserve"> vo Zvolene</w:t>
      </w:r>
      <w:r w:rsidR="00952C20">
        <w:t xml:space="preserve">, zapojili sa do akcie Doby Tatry – 6 vysokohorských štítov za 3 mesiace, tiež absolvovali celodennú turistiku v Chočských vrchoch, </w:t>
      </w:r>
      <w:r w:rsidR="008711EB">
        <w:t>Kremnic</w:t>
      </w:r>
      <w:r w:rsidR="00D031EE">
        <w:t>k</w:t>
      </w:r>
      <w:r w:rsidR="008711EB">
        <w:t xml:space="preserve">ých vrchoch, </w:t>
      </w:r>
      <w:r w:rsidR="00D031EE">
        <w:t xml:space="preserve">na Krupinskej planine, </w:t>
      </w:r>
      <w:r w:rsidR="008711EB">
        <w:t>opakovane v</w:t>
      </w:r>
      <w:r w:rsidR="00D031EE">
        <w:t xml:space="preserve">o </w:t>
      </w:r>
      <w:r w:rsidR="00952C20">
        <w:t>Veľkej a Malej Fatre, vodácky kurz v Pieninách a lyžiarsky kurz v Ždiari.</w:t>
      </w:r>
      <w:r w:rsidR="00E9551D">
        <w:t xml:space="preserve"> </w:t>
      </w:r>
      <w:r w:rsidR="00D031EE">
        <w:t xml:space="preserve">Zimného výstupu na Ďumbier a Silvestrovského výstupu na Sitno sa zúčastnilo aj viacero z rodičov, niektorí sa </w:t>
      </w:r>
      <w:r w:rsidR="00473C91">
        <w:t xml:space="preserve">tiež </w:t>
      </w:r>
      <w:r w:rsidR="00D031EE">
        <w:t xml:space="preserve">s nami zapojili do výzvy Doby Tatry. </w:t>
      </w:r>
      <w:r w:rsidR="00E9551D">
        <w:t>Viacero klientov sa zúčastnilo ako divá</w:t>
      </w:r>
      <w:r w:rsidR="00495FF5">
        <w:t>ci</w:t>
      </w:r>
      <w:r w:rsidR="00E9551D">
        <w:t xml:space="preserve"> hokejových zápasov </w:t>
      </w:r>
      <w:r w:rsidR="00D031EE">
        <w:t xml:space="preserve">vo Zvolene a absolvovali opakované návštevy Mestskej plavárne. </w:t>
      </w:r>
      <w:r w:rsidR="003D4864">
        <w:t>V komunite Ľudovítov sa klienti mohli zúčastňovať školy folklórneho a spoločenského tanca</w:t>
      </w:r>
      <w:r w:rsidR="00D031EE">
        <w:t xml:space="preserve">, na Polome cvičiť </w:t>
      </w:r>
      <w:proofErr w:type="spellStart"/>
      <w:r w:rsidR="00D031EE">
        <w:t>jógu</w:t>
      </w:r>
      <w:proofErr w:type="spellEnd"/>
      <w:r w:rsidR="00D031EE">
        <w:t>.</w:t>
      </w:r>
      <w:r w:rsidR="003A3F77">
        <w:t xml:space="preserve"> </w:t>
      </w:r>
    </w:p>
    <w:p w14:paraId="2364968B" w14:textId="77777777" w:rsidR="003A3F77" w:rsidRDefault="00D55A22" w:rsidP="003A3F77">
      <w:pPr>
        <w:jc w:val="both"/>
      </w:pPr>
      <w:proofErr w:type="spellStart"/>
      <w:r w:rsidRPr="003A3F77">
        <w:rPr>
          <w:b/>
          <w:i/>
        </w:rPr>
        <w:t>Animoterapia</w:t>
      </w:r>
      <w:proofErr w:type="spellEnd"/>
      <w:r w:rsidRPr="003A3F77">
        <w:rPr>
          <w:b/>
          <w:i/>
        </w:rPr>
        <w:t>, hipoterapia a</w:t>
      </w:r>
      <w:r w:rsidR="003A3F77" w:rsidRPr="003A3F77">
        <w:rPr>
          <w:b/>
          <w:i/>
        </w:rPr>
        <w:t> </w:t>
      </w:r>
      <w:proofErr w:type="spellStart"/>
      <w:r w:rsidRPr="003A3F77">
        <w:rPr>
          <w:b/>
          <w:i/>
        </w:rPr>
        <w:t>canisterapia</w:t>
      </w:r>
      <w:proofErr w:type="spellEnd"/>
      <w:r>
        <w:t xml:space="preserve"> </w:t>
      </w:r>
      <w:r w:rsidR="008711EB">
        <w:t>-  výcvik psov pod odborným vedením externého inštruktora</w:t>
      </w:r>
    </w:p>
    <w:p w14:paraId="64F016AE" w14:textId="77777777" w:rsidR="00E46156" w:rsidRDefault="003D4864" w:rsidP="003A3F77">
      <w:pPr>
        <w:jc w:val="both"/>
      </w:pPr>
      <w:r w:rsidRPr="003A3F77">
        <w:rPr>
          <w:b/>
          <w:i/>
        </w:rPr>
        <w:t>Vedenie k</w:t>
      </w:r>
      <w:r w:rsidR="003A3F77">
        <w:rPr>
          <w:b/>
          <w:i/>
        </w:rPr>
        <w:t> </w:t>
      </w:r>
      <w:r w:rsidRPr="003A3F77">
        <w:rPr>
          <w:b/>
          <w:i/>
        </w:rPr>
        <w:t>spiritualite</w:t>
      </w:r>
      <w:r w:rsidR="003A3F77">
        <w:rPr>
          <w:b/>
          <w:i/>
        </w:rPr>
        <w:t>:</w:t>
      </w:r>
      <w:r w:rsidR="00D55A22">
        <w:t xml:space="preserve"> možnosť duchovnej obnovy návštev</w:t>
      </w:r>
      <w:r w:rsidR="006856AF">
        <w:t>ou</w:t>
      </w:r>
      <w:r w:rsidR="00D55A22">
        <w:t xml:space="preserve"> svätých omší a individuálne</w:t>
      </w:r>
      <w:r w:rsidR="006856AF">
        <w:t>j</w:t>
      </w:r>
      <w:r w:rsidR="00D55A22">
        <w:t xml:space="preserve"> konzultácie s kňazmi vrátane realizácie bohoslužieb </w:t>
      </w:r>
      <w:r w:rsidR="00C137E0">
        <w:t>v</w:t>
      </w:r>
      <w:r w:rsidR="003A3F77">
        <w:t> </w:t>
      </w:r>
      <w:r w:rsidR="00C137E0">
        <w:t>komunitách</w:t>
      </w:r>
      <w:r w:rsidR="003A3F77">
        <w:t xml:space="preserve">. </w:t>
      </w:r>
      <w:r w:rsidR="00C137E0">
        <w:t>V priestoroch</w:t>
      </w:r>
      <w:r w:rsidR="00D55A22">
        <w:t> DCM v Španej doline</w:t>
      </w:r>
      <w:r w:rsidR="00C137E0">
        <w:t xml:space="preserve"> klienti absolvovali  </w:t>
      </w:r>
      <w:r w:rsidR="008711EB">
        <w:t>2 x krátke pobytové</w:t>
      </w:r>
      <w:r w:rsidR="00C137E0">
        <w:t xml:space="preserve">  </w:t>
      </w:r>
      <w:r w:rsidR="003A3F77">
        <w:t>návštevy</w:t>
      </w:r>
      <w:r w:rsidR="00C137E0">
        <w:t xml:space="preserve"> počas roka</w:t>
      </w:r>
      <w:r w:rsidR="00D55A22">
        <w:t>.</w:t>
      </w:r>
    </w:p>
    <w:p w14:paraId="69A2F649" w14:textId="77777777" w:rsidR="008711EB" w:rsidRDefault="00B67759" w:rsidP="003A3F77">
      <w:pPr>
        <w:jc w:val="both"/>
      </w:pPr>
      <w:r w:rsidRPr="00E46156">
        <w:rPr>
          <w:b/>
          <w:i/>
        </w:rPr>
        <w:t>Ďalšie aktivity</w:t>
      </w:r>
      <w:r w:rsidR="00E46156">
        <w:rPr>
          <w:b/>
          <w:i/>
        </w:rPr>
        <w:t xml:space="preserve">: </w:t>
      </w:r>
      <w:r w:rsidR="00D55A22">
        <w:t xml:space="preserve">Viacero klientov sa </w:t>
      </w:r>
      <w:r w:rsidR="00571AD1">
        <w:t xml:space="preserve">samostatne alebo spolu s rodičmi </w:t>
      </w:r>
      <w:r w:rsidR="00D55A22">
        <w:t>zúčast</w:t>
      </w:r>
      <w:r w:rsidR="00E46156">
        <w:t>nilo</w:t>
      </w:r>
      <w:r w:rsidR="00D55A22">
        <w:t xml:space="preserve"> folklórn</w:t>
      </w:r>
      <w:r w:rsidR="00E46156">
        <w:t>eho</w:t>
      </w:r>
      <w:r w:rsidR="00D55A22">
        <w:t xml:space="preserve"> festival</w:t>
      </w:r>
      <w:r w:rsidR="00E46156">
        <w:t xml:space="preserve">u v Detve, </w:t>
      </w:r>
      <w:r w:rsidR="008711EB">
        <w:t xml:space="preserve">Očovskej hrudy, cestovateľského kina </w:t>
      </w:r>
      <w:proofErr w:type="spellStart"/>
      <w:r w:rsidR="008711EB">
        <w:t>Whiskyho</w:t>
      </w:r>
      <w:proofErr w:type="spellEnd"/>
      <w:r w:rsidR="008711EB">
        <w:t xml:space="preserve"> o Iráne, o severozápade USA, </w:t>
      </w:r>
      <w:r w:rsidR="00D031EE">
        <w:t xml:space="preserve">v Piešťanoch prednášky o životnom prostredí, histórii Československa a cestovaní po Číne, </w:t>
      </w:r>
      <w:r w:rsidR="008711EB">
        <w:t>predstavení</w:t>
      </w:r>
      <w:r w:rsidR="00E46156">
        <w:t xml:space="preserve">  v DJGT Zvolen</w:t>
      </w:r>
      <w:r w:rsidR="00D031EE">
        <w:t xml:space="preserve">, Noci kostolov s vystúpením </w:t>
      </w:r>
      <w:proofErr w:type="spellStart"/>
      <w:r w:rsidR="00D031EE">
        <w:t>Simy</w:t>
      </w:r>
      <w:proofErr w:type="spellEnd"/>
      <w:r w:rsidR="00D031EE">
        <w:t xml:space="preserve"> </w:t>
      </w:r>
      <w:proofErr w:type="spellStart"/>
      <w:r w:rsidR="00D031EE">
        <w:t>Martauzovej</w:t>
      </w:r>
      <w:proofErr w:type="spellEnd"/>
      <w:r w:rsidR="00D031EE">
        <w:t xml:space="preserve"> v Prievidzi a návštevy hudobníka </w:t>
      </w:r>
      <w:proofErr w:type="spellStart"/>
      <w:r w:rsidR="00D031EE">
        <w:t>Žiarislava</w:t>
      </w:r>
      <w:proofErr w:type="spellEnd"/>
      <w:r w:rsidR="00D031EE">
        <w:t xml:space="preserve"> v </w:t>
      </w:r>
      <w:proofErr w:type="spellStart"/>
      <w:r w:rsidR="00D031EE">
        <w:t>Kokavke</w:t>
      </w:r>
      <w:proofErr w:type="spellEnd"/>
      <w:r w:rsidR="00D031EE">
        <w:t>.</w:t>
      </w:r>
    </w:p>
    <w:p w14:paraId="2BCF4FFF" w14:textId="77777777" w:rsidR="00E46156" w:rsidRDefault="00571AD1" w:rsidP="003A3F77">
      <w:pPr>
        <w:jc w:val="both"/>
      </w:pPr>
      <w:r>
        <w:t>Obidve komunity majú k dispozícii 9 miestne autá, čo rozšírilo možnosť kultúrnych, športových, hudobných a iných osvetových podujatí.</w:t>
      </w:r>
    </w:p>
    <w:p w14:paraId="4B3CBEAE" w14:textId="77777777" w:rsidR="00E46156" w:rsidRDefault="00D55A22" w:rsidP="00E46156">
      <w:pPr>
        <w:jc w:val="both"/>
      </w:pPr>
      <w:r>
        <w:t xml:space="preserve">Zmenu hodnotového sveta klientov sme sa </w:t>
      </w:r>
      <w:r w:rsidR="002F7C56">
        <w:t xml:space="preserve">opäť </w:t>
      </w:r>
      <w:r>
        <w:t xml:space="preserve">snažili realizovať aj prostredníctvom návykov na </w:t>
      </w:r>
      <w:r w:rsidR="003A798E">
        <w:t>zdravé stravovanie</w:t>
      </w:r>
      <w:r>
        <w:t>, okrem očistného 40 dňového pôstu v predveľkonočnom období (vynechanie mäsa a bieleho cukru)</w:t>
      </w:r>
      <w:r w:rsidR="002F7C56">
        <w:t xml:space="preserve"> ich </w:t>
      </w:r>
      <w:r w:rsidR="003A798E">
        <w:t xml:space="preserve">učíme pestovať </w:t>
      </w:r>
      <w:r>
        <w:t>bio zeleninu a</w:t>
      </w:r>
      <w:r w:rsidR="002F7C56">
        <w:t> variť zdravé jedlá</w:t>
      </w:r>
      <w:r>
        <w:t>.</w:t>
      </w:r>
    </w:p>
    <w:p w14:paraId="746BF944" w14:textId="77777777" w:rsidR="00E46156" w:rsidRDefault="00E46156" w:rsidP="00E46156">
      <w:pPr>
        <w:jc w:val="both"/>
      </w:pPr>
    </w:p>
    <w:p w14:paraId="6D46A0A8" w14:textId="77777777" w:rsidR="00E46156" w:rsidRDefault="003D5750" w:rsidP="00E46156">
      <w:pPr>
        <w:jc w:val="both"/>
        <w:rPr>
          <w:u w:val="single"/>
        </w:rPr>
      </w:pPr>
      <w:r w:rsidRPr="003D5750">
        <w:rPr>
          <w:u w:val="single"/>
        </w:rPr>
        <w:t>Personálne zázemie v roku 201</w:t>
      </w:r>
      <w:r w:rsidR="00004052">
        <w:rPr>
          <w:u w:val="single"/>
        </w:rPr>
        <w:t>9</w:t>
      </w:r>
    </w:p>
    <w:p w14:paraId="498E5015" w14:textId="148E75D0" w:rsidR="00147E1F" w:rsidRDefault="003D5750" w:rsidP="00246B72">
      <w:pPr>
        <w:jc w:val="both"/>
      </w:pPr>
      <w:r w:rsidRPr="00C11D1C">
        <w:t xml:space="preserve">Odborný tím centra </w:t>
      </w:r>
      <w:r w:rsidR="00C11D1C">
        <w:t xml:space="preserve">a personálne zázemie zamestnancov skupín v Centre pozostávalo z psychiatra (zároveň riaditeľ Centra), troch psychológov, špeciálneho pedagóga, zdravotnej sestry, </w:t>
      </w:r>
      <w:r w:rsidR="001D3C36">
        <w:t>jedného</w:t>
      </w:r>
      <w:r w:rsidR="00C11D1C">
        <w:t xml:space="preserve"> magistr</w:t>
      </w:r>
      <w:r w:rsidR="001D3C36">
        <w:t>a</w:t>
      </w:r>
      <w:r w:rsidR="00C11D1C">
        <w:t xml:space="preserve"> sociálnej práce a dvoch s bakalárskym vzdelaním</w:t>
      </w:r>
      <w:r w:rsidR="001D3C36">
        <w:t>,</w:t>
      </w:r>
      <w:r w:rsidR="00C11D1C">
        <w:t xml:space="preserve"> troch zamestnancov pre pracovné aktivity s inžinierskym vzdelaním a ďalších sedem s nižším vzdelaním – prevažne stredoškolským s maturitou. </w:t>
      </w:r>
      <w:r w:rsidR="001D3C36">
        <w:t>Dvaja zamestnanci</w:t>
      </w:r>
      <w:r w:rsidR="00C11D1C">
        <w:t xml:space="preserve"> bakalárskeho vzdelania si </w:t>
      </w:r>
      <w:r w:rsidR="00147E1F">
        <w:t xml:space="preserve">externe </w:t>
      </w:r>
      <w:r w:rsidR="00C11D1C">
        <w:t>dokončuj</w:t>
      </w:r>
      <w:r w:rsidR="001D3C36">
        <w:t>ú</w:t>
      </w:r>
      <w:r w:rsidR="00C11D1C">
        <w:t xml:space="preserve"> </w:t>
      </w:r>
      <w:r w:rsidR="00C11D1C">
        <w:lastRenderedPageBreak/>
        <w:t>magisterské vzde</w:t>
      </w:r>
      <w:r w:rsidR="00147E1F">
        <w:t>lanie v odbore sociálna práca</w:t>
      </w:r>
      <w:r w:rsidR="001D3C36">
        <w:t xml:space="preserve"> (jeden </w:t>
      </w:r>
      <w:r w:rsidR="00473C91">
        <w:t xml:space="preserve">z nich ukončil štúdium </w:t>
      </w:r>
      <w:r w:rsidR="001D3C36">
        <w:t>v </w:t>
      </w:r>
      <w:proofErr w:type="spellStart"/>
      <w:r w:rsidR="001D3C36">
        <w:t>jan</w:t>
      </w:r>
      <w:proofErr w:type="spellEnd"/>
      <w:r w:rsidR="001D3C36">
        <w:t>. 2020)</w:t>
      </w:r>
      <w:r w:rsidR="00147E1F">
        <w:t>, dvaja so stredoškolským vzdelaním pokračujú v štúdiu sociálnej práce v bakalárskom type štúdia.</w:t>
      </w:r>
      <w:r w:rsidR="00246B72" w:rsidRPr="00C11D1C">
        <w:t xml:space="preserve"> </w:t>
      </w:r>
    </w:p>
    <w:p w14:paraId="73A303A0" w14:textId="77777777" w:rsidR="00147E1F" w:rsidRDefault="00147E1F" w:rsidP="00246B72">
      <w:pPr>
        <w:jc w:val="both"/>
      </w:pPr>
      <w:r>
        <w:t>Dvaja psychológovia sú frekventanti výcviku v dynamicky a hlbinne orientovanej skupinovej psychoterapii, ďalší v hlbinnej psychoterapii detí a adolescentov. Psychiater a špeciálny pedagóg sú zaradení do výcviku v symbolicko-relaxačnej psychoterapii.</w:t>
      </w:r>
    </w:p>
    <w:p w14:paraId="4FCF14B3" w14:textId="77777777" w:rsidR="00147E1F" w:rsidRDefault="00147E1F" w:rsidP="00246B72">
      <w:pPr>
        <w:jc w:val="both"/>
      </w:pPr>
      <w:r>
        <w:t>Na zasadaní správnej rady v decembri 2019 bolo pre</w:t>
      </w:r>
      <w:r w:rsidR="004460C1">
        <w:t>rokované</w:t>
      </w:r>
      <w:r>
        <w:t xml:space="preserve"> podozrenie z porušenia pracovnej disciplíny u jedného zamestnanca s odporučením ukončiť pracovný pomer a návrhom opatrení na realizácii ďalších krokov.</w:t>
      </w:r>
    </w:p>
    <w:p w14:paraId="5659EF5E" w14:textId="77777777" w:rsidR="00246B72" w:rsidRDefault="00246B72" w:rsidP="00246B72">
      <w:pPr>
        <w:jc w:val="both"/>
      </w:pPr>
    </w:p>
    <w:p w14:paraId="5340C8E8" w14:textId="77777777" w:rsidR="00B177D2" w:rsidRPr="00B177D2" w:rsidRDefault="00B177D2" w:rsidP="00B177D2">
      <w:pPr>
        <w:pStyle w:val="Nadpis8"/>
        <w:jc w:val="both"/>
        <w:rPr>
          <w:sz w:val="24"/>
          <w:u w:val="single"/>
        </w:rPr>
      </w:pPr>
      <w:r w:rsidRPr="00B177D2">
        <w:rPr>
          <w:sz w:val="24"/>
          <w:u w:val="single"/>
        </w:rPr>
        <w:t>Finančné zabezpečenie v roku 2019</w:t>
      </w:r>
    </w:p>
    <w:p w14:paraId="77684B5D" w14:textId="77777777" w:rsidR="006B1B65" w:rsidRDefault="00B177D2" w:rsidP="00B177D2">
      <w:pPr>
        <w:pStyle w:val="Nadpis8"/>
        <w:jc w:val="both"/>
        <w:rPr>
          <w:sz w:val="24"/>
        </w:rPr>
      </w:pPr>
      <w:r>
        <w:rPr>
          <w:sz w:val="24"/>
        </w:rPr>
        <w:t xml:space="preserve">Na základe zmluvy č. 91/OVOSOD/2019 s Ústredím práce, sociálnych vecí a rodiny MPSVaR SR, ktoré prispelo na prevádzku sumou 676.800,- eur sme finančné prostriedky čerpali priebežne, </w:t>
      </w:r>
      <w:r w:rsidR="00D43AFE">
        <w:rPr>
          <w:sz w:val="24"/>
        </w:rPr>
        <w:t xml:space="preserve">po zmluvne zadanej povinnosti vracať časť prostriedkov za obsadené miesta a časť za neobsadené miesta </w:t>
      </w:r>
      <w:r w:rsidR="000600CE">
        <w:rPr>
          <w:sz w:val="24"/>
        </w:rPr>
        <w:t xml:space="preserve">na konci každého štvrťroka </w:t>
      </w:r>
      <w:r w:rsidR="00D43AFE">
        <w:rPr>
          <w:sz w:val="24"/>
        </w:rPr>
        <w:t xml:space="preserve">sme z tejto sumy vyčerpali </w:t>
      </w:r>
      <w:r w:rsidR="00D43AFE" w:rsidRPr="00D43AFE">
        <w:rPr>
          <w:color w:val="000000"/>
          <w:sz w:val="24"/>
          <w:lang w:eastAsia="sk-SK"/>
        </w:rPr>
        <w:t>593 923,42</w:t>
      </w:r>
      <w:r w:rsidR="00D43AFE">
        <w:rPr>
          <w:b/>
          <w:bCs/>
          <w:color w:val="000000"/>
          <w:lang w:eastAsia="sk-SK"/>
        </w:rPr>
        <w:t xml:space="preserve"> </w:t>
      </w:r>
      <w:r w:rsidR="00D43AFE" w:rsidRPr="00D43AFE">
        <w:rPr>
          <w:color w:val="000000"/>
          <w:sz w:val="24"/>
          <w:lang w:eastAsia="sk-SK"/>
        </w:rPr>
        <w:t>eur</w:t>
      </w:r>
      <w:r w:rsidR="00D43AFE">
        <w:rPr>
          <w:color w:val="000000"/>
          <w:sz w:val="24"/>
          <w:lang w:eastAsia="sk-SK"/>
        </w:rPr>
        <w:t xml:space="preserve">. </w:t>
      </w:r>
      <w:r w:rsidR="000600CE">
        <w:rPr>
          <w:color w:val="000000"/>
          <w:sz w:val="24"/>
          <w:lang w:eastAsia="sk-SK"/>
        </w:rPr>
        <w:t xml:space="preserve">Žiadosťou o vyčlenenie z týchto prostriedkov na </w:t>
      </w:r>
      <w:r w:rsidR="002A7743">
        <w:rPr>
          <w:color w:val="000000"/>
          <w:sz w:val="24"/>
          <w:lang w:eastAsia="sk-SK"/>
        </w:rPr>
        <w:t xml:space="preserve">kapitálové výdavky vo výške 48 560,- eur sme získali </w:t>
      </w:r>
      <w:r>
        <w:rPr>
          <w:sz w:val="24"/>
        </w:rPr>
        <w:t>kapitálov</w:t>
      </w:r>
      <w:r w:rsidR="002A7743">
        <w:rPr>
          <w:sz w:val="24"/>
        </w:rPr>
        <w:t>é</w:t>
      </w:r>
      <w:r>
        <w:rPr>
          <w:sz w:val="24"/>
        </w:rPr>
        <w:t xml:space="preserve"> prostriedk</w:t>
      </w:r>
      <w:r w:rsidR="002A7743">
        <w:rPr>
          <w:sz w:val="24"/>
        </w:rPr>
        <w:t>y</w:t>
      </w:r>
      <w:r>
        <w:rPr>
          <w:sz w:val="24"/>
        </w:rPr>
        <w:t xml:space="preserve"> na požiarnu signalizáciu a kamerový systém v obidvoch komunitách</w:t>
      </w:r>
      <w:r w:rsidR="00D43AFE">
        <w:rPr>
          <w:sz w:val="24"/>
        </w:rPr>
        <w:t xml:space="preserve"> </w:t>
      </w:r>
      <w:r w:rsidR="002A7743">
        <w:rPr>
          <w:sz w:val="24"/>
        </w:rPr>
        <w:t xml:space="preserve">vo výške </w:t>
      </w:r>
      <w:r w:rsidR="00D43AFE">
        <w:rPr>
          <w:sz w:val="24"/>
        </w:rPr>
        <w:t>19</w:t>
      </w:r>
      <w:r w:rsidR="002A7743">
        <w:rPr>
          <w:sz w:val="24"/>
        </w:rPr>
        <w:t> </w:t>
      </w:r>
      <w:r w:rsidR="00D43AFE">
        <w:rPr>
          <w:sz w:val="24"/>
        </w:rPr>
        <w:t>560</w:t>
      </w:r>
      <w:r w:rsidR="002A7743">
        <w:rPr>
          <w:sz w:val="24"/>
        </w:rPr>
        <w:t>,- eur</w:t>
      </w:r>
      <w:r w:rsidR="00D43AFE">
        <w:rPr>
          <w:sz w:val="24"/>
        </w:rPr>
        <w:t xml:space="preserve"> a</w:t>
      </w:r>
      <w:r w:rsidR="006B1B65">
        <w:rPr>
          <w:sz w:val="24"/>
        </w:rPr>
        <w:t> osobný 9 miestny automobil</w:t>
      </w:r>
      <w:r w:rsidR="002A7743">
        <w:rPr>
          <w:sz w:val="24"/>
        </w:rPr>
        <w:t xml:space="preserve"> vo výške </w:t>
      </w:r>
      <w:r w:rsidR="00D43AFE">
        <w:rPr>
          <w:sz w:val="24"/>
        </w:rPr>
        <w:t xml:space="preserve"> 29</w:t>
      </w:r>
      <w:r w:rsidR="002A7743">
        <w:rPr>
          <w:sz w:val="24"/>
        </w:rPr>
        <w:t> </w:t>
      </w:r>
      <w:r w:rsidR="00D43AFE">
        <w:rPr>
          <w:sz w:val="24"/>
        </w:rPr>
        <w:t>000</w:t>
      </w:r>
      <w:r w:rsidR="002A7743">
        <w:rPr>
          <w:sz w:val="24"/>
        </w:rPr>
        <w:t>,- eur</w:t>
      </w:r>
      <w:r w:rsidR="00D43AFE">
        <w:rPr>
          <w:sz w:val="24"/>
        </w:rPr>
        <w:t>, spolu 48</w:t>
      </w:r>
      <w:r w:rsidR="002A7743">
        <w:rPr>
          <w:sz w:val="24"/>
        </w:rPr>
        <w:t> </w:t>
      </w:r>
      <w:r w:rsidR="00D43AFE">
        <w:rPr>
          <w:sz w:val="24"/>
        </w:rPr>
        <w:t>560</w:t>
      </w:r>
      <w:r w:rsidR="002A7743">
        <w:rPr>
          <w:sz w:val="24"/>
        </w:rPr>
        <w:t>,- eur.</w:t>
      </w:r>
      <w:r>
        <w:rPr>
          <w:sz w:val="24"/>
        </w:rPr>
        <w:t xml:space="preserve"> V prípade projektu </w:t>
      </w:r>
      <w:r w:rsidR="002A7743">
        <w:rPr>
          <w:sz w:val="24"/>
        </w:rPr>
        <w:t>p</w:t>
      </w:r>
      <w:r>
        <w:rPr>
          <w:sz w:val="24"/>
        </w:rPr>
        <w:t xml:space="preserve">ožiarnej signalizácie sme vzhľadom na výšku investície realizovali aj výzvu na predloženie cenovej ponuky, dňa 14.10.2019 bola vybraná na realizáciu spoločnosť SAK plus, </w:t>
      </w:r>
      <w:proofErr w:type="spellStart"/>
      <w:r>
        <w:rPr>
          <w:sz w:val="24"/>
        </w:rPr>
        <w:t>s.r.o</w:t>
      </w:r>
      <w:proofErr w:type="spellEnd"/>
      <w:r>
        <w:rPr>
          <w:sz w:val="24"/>
        </w:rPr>
        <w:t xml:space="preserve">. Priamym zadaním na kamerový systém zabezpečila realizáciu tohto projektu firma TOMIPO T.S., </w:t>
      </w:r>
      <w:proofErr w:type="spellStart"/>
      <w:r>
        <w:rPr>
          <w:sz w:val="24"/>
        </w:rPr>
        <w:t>s.r.o</w:t>
      </w:r>
      <w:proofErr w:type="spellEnd"/>
      <w:r>
        <w:rPr>
          <w:sz w:val="24"/>
        </w:rPr>
        <w:t>.</w:t>
      </w:r>
      <w:r w:rsidR="002A7743">
        <w:rPr>
          <w:sz w:val="24"/>
        </w:rPr>
        <w:t xml:space="preserve"> Prostredníctvom elektronického trhoviska sme verejným obstarávaním</w:t>
      </w:r>
      <w:r w:rsidR="006B1B65">
        <w:rPr>
          <w:sz w:val="24"/>
        </w:rPr>
        <w:t xml:space="preserve"> zakúpili VW transportér.</w:t>
      </w:r>
    </w:p>
    <w:p w14:paraId="77201BE1" w14:textId="77777777" w:rsidR="00B177D2" w:rsidRPr="00C7385F" w:rsidRDefault="006B1B65" w:rsidP="00B177D2">
      <w:pPr>
        <w:pStyle w:val="Nadpis8"/>
        <w:jc w:val="both"/>
      </w:pPr>
      <w:r>
        <w:rPr>
          <w:sz w:val="24"/>
        </w:rPr>
        <w:t xml:space="preserve">Od nadácie Aténa sme darom získali </w:t>
      </w:r>
      <w:proofErr w:type="spellStart"/>
      <w:r>
        <w:rPr>
          <w:sz w:val="24"/>
        </w:rPr>
        <w:t>s</w:t>
      </w:r>
      <w:r w:rsidR="002A7743">
        <w:rPr>
          <w:sz w:val="24"/>
        </w:rPr>
        <w:t>hokový</w:t>
      </w:r>
      <w:proofErr w:type="spellEnd"/>
      <w:r w:rsidR="002A7743">
        <w:rPr>
          <w:sz w:val="24"/>
        </w:rPr>
        <w:t xml:space="preserve"> </w:t>
      </w:r>
      <w:proofErr w:type="spellStart"/>
      <w:r w:rsidR="002A7743">
        <w:rPr>
          <w:sz w:val="24"/>
        </w:rPr>
        <w:t>schlad</w:t>
      </w:r>
      <w:r>
        <w:rPr>
          <w:sz w:val="24"/>
        </w:rPr>
        <w:t>z</w:t>
      </w:r>
      <w:r w:rsidR="002A7743">
        <w:rPr>
          <w:sz w:val="24"/>
        </w:rPr>
        <w:t>ovač</w:t>
      </w:r>
      <w:proofErr w:type="spellEnd"/>
      <w:r>
        <w:rPr>
          <w:sz w:val="24"/>
        </w:rPr>
        <w:t>/</w:t>
      </w:r>
      <w:r w:rsidR="002A7743">
        <w:rPr>
          <w:sz w:val="24"/>
        </w:rPr>
        <w:t>zmrazovač v hodnote 1620</w:t>
      </w:r>
      <w:r>
        <w:rPr>
          <w:sz w:val="24"/>
        </w:rPr>
        <w:t>,-</w:t>
      </w:r>
      <w:r w:rsidR="002A7743">
        <w:rPr>
          <w:sz w:val="24"/>
        </w:rPr>
        <w:t xml:space="preserve"> eur</w:t>
      </w:r>
      <w:r>
        <w:rPr>
          <w:sz w:val="24"/>
        </w:rPr>
        <w:t>.</w:t>
      </w:r>
    </w:p>
    <w:p w14:paraId="25DA7290" w14:textId="77777777" w:rsidR="00B177D2" w:rsidRDefault="00B177D2" w:rsidP="00B177D2">
      <w:pPr>
        <w:pStyle w:val="Nadpis8"/>
        <w:jc w:val="both"/>
        <w:rPr>
          <w:sz w:val="24"/>
        </w:rPr>
      </w:pPr>
      <w:r>
        <w:rPr>
          <w:sz w:val="24"/>
        </w:rPr>
        <w:t>Zmluvou o poskytnutí finančného príspevku č. 20190211 vo výške 652,74 s Nadáciou Centra pre filantropiu sme zabezpečili vybavenie komunity v Ľudovítove cez projekt „Elektrospotrebiče pre resocializačné zariadenie“</w:t>
      </w:r>
      <w:r w:rsidR="006B1B65">
        <w:rPr>
          <w:sz w:val="24"/>
        </w:rPr>
        <w:t>.</w:t>
      </w:r>
    </w:p>
    <w:p w14:paraId="4869C079" w14:textId="77777777" w:rsidR="00B177D2" w:rsidRDefault="00B177D2" w:rsidP="00B177D2">
      <w:pPr>
        <w:pStyle w:val="Nadpis8"/>
        <w:jc w:val="both"/>
        <w:rPr>
          <w:sz w:val="24"/>
        </w:rPr>
      </w:pPr>
      <w:r>
        <w:rPr>
          <w:sz w:val="24"/>
        </w:rPr>
        <w:t>Organizácia zrealizovala predaj vozidla Peugeot Partner za 400,-</w:t>
      </w:r>
      <w:r w:rsidR="006B1B65">
        <w:rPr>
          <w:sz w:val="24"/>
        </w:rPr>
        <w:t xml:space="preserve"> </w:t>
      </w:r>
      <w:r>
        <w:rPr>
          <w:sz w:val="24"/>
        </w:rPr>
        <w:t xml:space="preserve">eur dňa 12.7.2019. </w:t>
      </w:r>
      <w:r w:rsidRPr="00EC3B66">
        <w:rPr>
          <w:sz w:val="24"/>
        </w:rPr>
        <w:t xml:space="preserve">Vozidlo </w:t>
      </w:r>
      <w:proofErr w:type="spellStart"/>
      <w:r>
        <w:rPr>
          <w:sz w:val="24"/>
        </w:rPr>
        <w:t>Ávia</w:t>
      </w:r>
      <w:proofErr w:type="spellEnd"/>
      <w:r>
        <w:rPr>
          <w:sz w:val="24"/>
        </w:rPr>
        <w:t xml:space="preserve"> 30 valník</w:t>
      </w:r>
      <w:r w:rsidRPr="00EC3B66">
        <w:rPr>
          <w:sz w:val="24"/>
        </w:rPr>
        <w:t xml:space="preserve"> sme dočasne vyradili z prevádzky (odobrané značky s požiadavkou na 3 roky)</w:t>
      </w:r>
      <w:r>
        <w:rPr>
          <w:sz w:val="24"/>
        </w:rPr>
        <w:t>.</w:t>
      </w:r>
    </w:p>
    <w:p w14:paraId="1C09CAB6" w14:textId="77777777" w:rsidR="00B177D2" w:rsidRPr="00B177D2" w:rsidRDefault="00B177D2" w:rsidP="00B177D2">
      <w:pPr>
        <w:rPr>
          <w:lang w:eastAsia="cs-CZ"/>
        </w:rPr>
      </w:pPr>
    </w:p>
    <w:p w14:paraId="3EB2590C" w14:textId="77777777" w:rsidR="00246B72" w:rsidRPr="001D3C36" w:rsidRDefault="008F2015" w:rsidP="00246B72">
      <w:pPr>
        <w:jc w:val="both"/>
      </w:pPr>
      <w:r w:rsidRPr="001D3C36">
        <w:rPr>
          <w:u w:val="single"/>
        </w:rPr>
        <w:t>Kontrolná činnosť štátnych orgánov</w:t>
      </w:r>
      <w:r w:rsidR="00246B72" w:rsidRPr="001D3C36">
        <w:rPr>
          <w:u w:val="single"/>
        </w:rPr>
        <w:t xml:space="preserve"> v roku 201</w:t>
      </w:r>
      <w:r w:rsidR="001D3C36">
        <w:rPr>
          <w:u w:val="single"/>
        </w:rPr>
        <w:t>9</w:t>
      </w:r>
      <w:r w:rsidRPr="001D3C36">
        <w:t>:</w:t>
      </w:r>
    </w:p>
    <w:p w14:paraId="5B0EEC49" w14:textId="77777777" w:rsidR="00870F43" w:rsidRDefault="004B0F6A" w:rsidP="004B0F6A">
      <w:pPr>
        <w:jc w:val="both"/>
      </w:pPr>
      <w:r>
        <w:t xml:space="preserve">V januári 2019 bol prerokovaný na odbore starostlivosti o životné prostredie v Krupine protokol o kontrole zo dňa 14.12.2018 v súvislosti s legalizáciou studne v komunite Poloma a čističky odpadových vôd. </w:t>
      </w:r>
      <w:bookmarkStart w:id="0" w:name="_Hlk40636729"/>
      <w:r>
        <w:t xml:space="preserve">Proces legalizácie studne je </w:t>
      </w:r>
      <w:r w:rsidR="00C705ED">
        <w:t>ukončený,</w:t>
      </w:r>
      <w:r>
        <w:t xml:space="preserve"> odoberané vzorky vody z nej pravidelne podľa zákona vždy potvrdzovali kvalitu vody v súlade s predpismi. </w:t>
      </w:r>
      <w:r w:rsidR="00870F43">
        <w:t xml:space="preserve">Stavebné povolenie na ČOV sme obdržali v októbri 2019, v decembri sme menovaný úrad požiadali o kolaudáciu. Predbežné výsledky analýz </w:t>
      </w:r>
      <w:r w:rsidR="00320ABB">
        <w:t xml:space="preserve">vzoriek </w:t>
      </w:r>
      <w:r w:rsidR="00870F43">
        <w:t>potvrdzujú vysokú pravdepodobnosť skolaudovania stavby bez pripomienok v systéme vyššej kvality.</w:t>
      </w:r>
    </w:p>
    <w:bookmarkEnd w:id="0"/>
    <w:p w14:paraId="668B9EEF" w14:textId="77777777" w:rsidR="00320ABB" w:rsidRDefault="00320ABB" w:rsidP="004B0F6A">
      <w:pPr>
        <w:jc w:val="both"/>
      </w:pPr>
      <w:r>
        <w:t xml:space="preserve">Kontrola Regionálneho úradu verejného zdravotníctva v Nových Zámkoch preskúmala prevádzkovanie fóliovníkov a ďalších drobných stavieb bez ich predchádzajúceho kladného rozhodnutia, </w:t>
      </w:r>
      <w:r w:rsidR="006E6AA7">
        <w:t>rozhodnutím z 10.7.2019 prerušuje konanie do doby vydania rozhodnutia príslušného stavebného úradu ku kolaudácii uvedených stavieb.</w:t>
      </w:r>
    </w:p>
    <w:p w14:paraId="155D1EAE" w14:textId="77777777" w:rsidR="004B0F6A" w:rsidRDefault="004B0F6A" w:rsidP="004B0F6A">
      <w:pPr>
        <w:jc w:val="both"/>
      </w:pPr>
      <w:r>
        <w:t xml:space="preserve">Na základe poverenia  ministra práce, sociálnych vecí a rodiny vykonali poverení zamestnanci MPSVaR a prizvané osoby z rezortu zdravotníctva  dňa 5.2.2019 kontrolu zabezpečovania zdravotnej starostlivosti o deti s nariadeným pobytom súdu s účinnosťou od 1.4.2018. </w:t>
      </w:r>
      <w:r w:rsidR="00C705ED">
        <w:t>Závery kontroly neobsahujú žiadne pochybenia zo strany našej organizácie.</w:t>
      </w:r>
    </w:p>
    <w:p w14:paraId="306EA33F" w14:textId="77777777" w:rsidR="004B0F6A" w:rsidRDefault="004B0F6A" w:rsidP="004B0F6A">
      <w:pPr>
        <w:jc w:val="both"/>
      </w:pPr>
      <w:r>
        <w:t xml:space="preserve">Dňa 22.3.2019 začal v našej organizácii vládny audit účtovného obdobia rok 2017, ukončený dňa 17.5.2019. </w:t>
      </w:r>
      <w:r w:rsidR="00C705ED">
        <w:t>O</w:t>
      </w:r>
      <w:r>
        <w:t>rganizácii z kontroly nevyplynul žiadny protokol a možná pokuta.</w:t>
      </w:r>
    </w:p>
    <w:p w14:paraId="1F797DE8" w14:textId="77777777" w:rsidR="004B0F6A" w:rsidRDefault="004B0F6A" w:rsidP="004B0F6A">
      <w:pPr>
        <w:jc w:val="both"/>
      </w:pPr>
      <w:r>
        <w:t xml:space="preserve">V dňoch od 9.4.2019 bola stanovená organizácii kontrola odvodu poistného na sociálne poistenie a kontrolu plnenia ďalších povinností organizácie voči Sociálnej poisťovni. </w:t>
      </w:r>
      <w:r w:rsidR="00320ABB">
        <w:t>Neboli</w:t>
      </w:r>
      <w:r>
        <w:t xml:space="preserve"> sme informovaní o</w:t>
      </w:r>
      <w:r w:rsidR="00320ABB">
        <w:t xml:space="preserve"> žiadnych </w:t>
      </w:r>
      <w:r>
        <w:t>prípadných nedostatkoch.</w:t>
      </w:r>
    </w:p>
    <w:p w14:paraId="12DFF4D7" w14:textId="77777777" w:rsidR="004B0F6A" w:rsidRDefault="004B0F6A" w:rsidP="004B0F6A">
      <w:pPr>
        <w:jc w:val="both"/>
      </w:pPr>
      <w:r>
        <w:lastRenderedPageBreak/>
        <w:t xml:space="preserve">Dňa 29.5.2019 bola realizovaná metodická návšteva Ústredia práce, sociálnych vecí a rodiny v komunite Ľudovítov, </w:t>
      </w:r>
      <w:r w:rsidR="00320ABB">
        <w:t>z</w:t>
      </w:r>
      <w:r>
        <w:t xml:space="preserve">ápis z návštevy a odporúčané opatrenia </w:t>
      </w:r>
      <w:r w:rsidR="00320ABB">
        <w:t xml:space="preserve">boli </w:t>
      </w:r>
      <w:r>
        <w:t>prerokované.</w:t>
      </w:r>
    </w:p>
    <w:p w14:paraId="34C0A17D" w14:textId="77777777" w:rsidR="0063737B" w:rsidRDefault="0063737B" w:rsidP="00246B72">
      <w:pPr>
        <w:jc w:val="both"/>
      </w:pPr>
    </w:p>
    <w:p w14:paraId="5D0019E4" w14:textId="77777777" w:rsidR="00D55A22" w:rsidRPr="00D84F55" w:rsidRDefault="00D55A22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sz w:val="28"/>
          <w:szCs w:val="28"/>
          <w:lang w:val="sk-SK"/>
        </w:rPr>
      </w:pPr>
      <w:r w:rsidRPr="00D84F55">
        <w:rPr>
          <w:rFonts w:ascii="Times New Roman" w:hAnsi="Times New Roman"/>
          <w:b/>
          <w:sz w:val="28"/>
          <w:szCs w:val="28"/>
          <w:lang w:val="sk-SK"/>
        </w:rPr>
        <w:t>Kvantitatívne údaje o klientoch a prevádzke za rok 201</w:t>
      </w:r>
      <w:r w:rsidR="001D3C36">
        <w:rPr>
          <w:rFonts w:ascii="Times New Roman" w:hAnsi="Times New Roman"/>
          <w:b/>
          <w:sz w:val="28"/>
          <w:szCs w:val="28"/>
          <w:lang w:val="sk-SK"/>
        </w:rPr>
        <w:t>9</w:t>
      </w:r>
    </w:p>
    <w:p w14:paraId="67EE25BA" w14:textId="77777777" w:rsidR="00D55A22" w:rsidRDefault="00004052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Spolu</w:t>
      </w:r>
      <w:r w:rsidR="00D55A22">
        <w:rPr>
          <w:rFonts w:ascii="Times New Roman" w:hAnsi="Times New Roman"/>
          <w:lang w:val="sk-SK"/>
        </w:rPr>
        <w:t xml:space="preserve"> klientov </w:t>
      </w:r>
      <w:r w:rsidR="00D55A22">
        <w:rPr>
          <w:rFonts w:ascii="Times New Roman" w:hAnsi="Times New Roman"/>
          <w:b/>
          <w:lang w:val="sk-SK"/>
        </w:rPr>
        <w:t>prijatých</w:t>
      </w:r>
      <w:r w:rsidR="00D55A22">
        <w:rPr>
          <w:rFonts w:ascii="Times New Roman" w:hAnsi="Times New Roman"/>
          <w:lang w:val="sk-SK"/>
        </w:rPr>
        <w:t xml:space="preserve"> </w:t>
      </w:r>
      <w:r w:rsidR="0063737B" w:rsidRPr="00AF675F">
        <w:rPr>
          <w:rFonts w:ascii="Times New Roman" w:hAnsi="Times New Roman"/>
          <w:b/>
          <w:lang w:val="sk-SK"/>
        </w:rPr>
        <w:t>5</w:t>
      </w:r>
      <w:r>
        <w:rPr>
          <w:rFonts w:ascii="Times New Roman" w:hAnsi="Times New Roman"/>
          <w:b/>
          <w:lang w:val="sk-SK"/>
        </w:rPr>
        <w:t>3</w:t>
      </w:r>
      <w:r w:rsidR="00344189">
        <w:rPr>
          <w:rFonts w:ascii="Times New Roman" w:hAnsi="Times New Roman"/>
          <w:b/>
          <w:lang w:val="sk-SK"/>
        </w:rPr>
        <w:t xml:space="preserve"> klientov</w:t>
      </w:r>
      <w:r w:rsidR="00D55A22">
        <w:rPr>
          <w:rFonts w:ascii="Times New Roman" w:hAnsi="Times New Roman"/>
          <w:b/>
          <w:lang w:val="sk-SK"/>
        </w:rPr>
        <w:t>, prepusten</w:t>
      </w:r>
      <w:r w:rsidR="00344189">
        <w:rPr>
          <w:rFonts w:ascii="Times New Roman" w:hAnsi="Times New Roman"/>
          <w:b/>
          <w:lang w:val="sk-SK"/>
        </w:rPr>
        <w:t>ých</w:t>
      </w:r>
      <w:r w:rsidR="00D55A22"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>55</w:t>
      </w:r>
      <w:r w:rsidR="00D55A22">
        <w:rPr>
          <w:rFonts w:ascii="Times New Roman" w:hAnsi="Times New Roman"/>
          <w:lang w:val="sk-SK"/>
        </w:rPr>
        <w:t xml:space="preserve"> </w:t>
      </w:r>
      <w:r w:rsidR="00344189">
        <w:rPr>
          <w:rFonts w:ascii="Times New Roman" w:hAnsi="Times New Roman"/>
          <w:lang w:val="sk-SK"/>
        </w:rPr>
        <w:t>klientov</w:t>
      </w:r>
    </w:p>
    <w:p w14:paraId="362A51F9" w14:textId="77777777" w:rsidR="00D55A22" w:rsidRDefault="00D55A22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Celkový počet klientov v roku 201</w:t>
      </w:r>
      <w:r w:rsidR="00004052">
        <w:rPr>
          <w:rFonts w:ascii="Times New Roman" w:hAnsi="Times New Roman"/>
          <w:lang w:val="sk-SK"/>
        </w:rPr>
        <w:t>9</w:t>
      </w:r>
      <w:r>
        <w:rPr>
          <w:rFonts w:ascii="Times New Roman" w:hAnsi="Times New Roman"/>
          <w:lang w:val="sk-SK"/>
        </w:rPr>
        <w:t xml:space="preserve"> : </w:t>
      </w:r>
      <w:r w:rsidR="00004052" w:rsidRPr="000A745C">
        <w:rPr>
          <w:rFonts w:ascii="Times New Roman" w:hAnsi="Times New Roman"/>
          <w:b/>
          <w:bCs/>
          <w:lang w:val="sk-SK"/>
        </w:rPr>
        <w:t>94</w:t>
      </w:r>
      <w:r>
        <w:rPr>
          <w:rFonts w:ascii="Times New Roman" w:hAnsi="Times New Roman"/>
          <w:b/>
          <w:bCs/>
          <w:lang w:val="sk-SK"/>
        </w:rPr>
        <w:t xml:space="preserve">,  z toho </w:t>
      </w:r>
      <w:r w:rsidR="00004052">
        <w:rPr>
          <w:rFonts w:ascii="Times New Roman" w:hAnsi="Times New Roman"/>
          <w:b/>
          <w:bCs/>
          <w:lang w:val="sk-SK"/>
        </w:rPr>
        <w:t>25</w:t>
      </w:r>
      <w:r>
        <w:rPr>
          <w:rFonts w:ascii="Times New Roman" w:hAnsi="Times New Roman"/>
          <w:b/>
          <w:bCs/>
          <w:lang w:val="sk-SK"/>
        </w:rPr>
        <w:t xml:space="preserve"> žien (</w:t>
      </w:r>
      <w:r w:rsidR="00004052">
        <w:rPr>
          <w:rFonts w:ascii="Times New Roman" w:hAnsi="Times New Roman"/>
          <w:b/>
          <w:bCs/>
          <w:lang w:val="sk-SK"/>
        </w:rPr>
        <w:t>27</w:t>
      </w:r>
      <w:r>
        <w:rPr>
          <w:rFonts w:ascii="Times New Roman" w:hAnsi="Times New Roman"/>
          <w:b/>
          <w:bCs/>
          <w:lang w:val="sk-SK"/>
        </w:rPr>
        <w:t xml:space="preserve">%), </w:t>
      </w:r>
      <w:r w:rsidR="00004052">
        <w:rPr>
          <w:rFonts w:ascii="Times New Roman" w:hAnsi="Times New Roman"/>
          <w:b/>
          <w:bCs/>
          <w:lang w:val="sk-SK"/>
        </w:rPr>
        <w:t>69</w:t>
      </w:r>
      <w:r>
        <w:rPr>
          <w:rFonts w:ascii="Times New Roman" w:hAnsi="Times New Roman"/>
          <w:b/>
          <w:bCs/>
          <w:lang w:val="sk-SK"/>
        </w:rPr>
        <w:t xml:space="preserve"> mužov (</w:t>
      </w:r>
      <w:r w:rsidR="00004052">
        <w:rPr>
          <w:rFonts w:ascii="Times New Roman" w:hAnsi="Times New Roman"/>
          <w:b/>
          <w:bCs/>
          <w:lang w:val="sk-SK"/>
        </w:rPr>
        <w:t>63</w:t>
      </w:r>
      <w:r>
        <w:rPr>
          <w:rFonts w:ascii="Times New Roman" w:hAnsi="Times New Roman"/>
          <w:b/>
          <w:bCs/>
          <w:lang w:val="sk-SK"/>
        </w:rPr>
        <w:t>%)</w:t>
      </w:r>
      <w:r>
        <w:rPr>
          <w:rFonts w:ascii="Times New Roman" w:hAnsi="Times New Roman"/>
          <w:lang w:val="sk-SK"/>
        </w:rPr>
        <w:t xml:space="preserve">. </w:t>
      </w:r>
    </w:p>
    <w:p w14:paraId="10978B89" w14:textId="77777777" w:rsidR="00D55A22" w:rsidRDefault="00D55A22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>Celkovo detí do 18 rokov v roku 201</w:t>
      </w:r>
      <w:r w:rsidR="00004052">
        <w:rPr>
          <w:rFonts w:ascii="Times New Roman" w:hAnsi="Times New Roman"/>
          <w:lang w:val="sk-SK"/>
        </w:rPr>
        <w:t>9</w:t>
      </w:r>
      <w:r>
        <w:rPr>
          <w:rFonts w:ascii="Times New Roman" w:hAnsi="Times New Roman"/>
          <w:lang w:val="sk-SK"/>
        </w:rPr>
        <w:t xml:space="preserve">: </w:t>
      </w:r>
      <w:r w:rsidR="00004052" w:rsidRPr="000A745C">
        <w:rPr>
          <w:rFonts w:ascii="Times New Roman" w:hAnsi="Times New Roman"/>
          <w:b/>
          <w:bCs/>
          <w:lang w:val="sk-SK"/>
        </w:rPr>
        <w:t>27</w:t>
      </w:r>
      <w:r>
        <w:rPr>
          <w:rFonts w:ascii="Times New Roman" w:hAnsi="Times New Roman"/>
          <w:b/>
          <w:lang w:val="sk-SK"/>
        </w:rPr>
        <w:t xml:space="preserve">, </w:t>
      </w:r>
      <w:proofErr w:type="spellStart"/>
      <w:r>
        <w:rPr>
          <w:rFonts w:ascii="Times New Roman" w:hAnsi="Times New Roman"/>
          <w:b/>
          <w:lang w:val="sk-SK"/>
        </w:rPr>
        <w:t>t.j</w:t>
      </w:r>
      <w:proofErr w:type="spellEnd"/>
      <w:r>
        <w:rPr>
          <w:rFonts w:ascii="Times New Roman" w:hAnsi="Times New Roman"/>
          <w:b/>
          <w:lang w:val="sk-SK"/>
        </w:rPr>
        <w:t xml:space="preserve">. </w:t>
      </w:r>
      <w:r w:rsidR="00004052">
        <w:rPr>
          <w:rFonts w:ascii="Times New Roman" w:hAnsi="Times New Roman"/>
          <w:b/>
          <w:lang w:val="sk-SK"/>
        </w:rPr>
        <w:t>29</w:t>
      </w:r>
      <w:r>
        <w:rPr>
          <w:rFonts w:ascii="Times New Roman" w:hAnsi="Times New Roman"/>
          <w:b/>
          <w:lang w:val="sk-SK"/>
        </w:rPr>
        <w:t xml:space="preserve"> %</w:t>
      </w:r>
      <w:r w:rsidR="00AF675F">
        <w:rPr>
          <w:rFonts w:ascii="Times New Roman" w:hAnsi="Times New Roman"/>
          <w:b/>
          <w:lang w:val="sk-SK"/>
        </w:rPr>
        <w:t xml:space="preserve"> </w:t>
      </w:r>
    </w:p>
    <w:p w14:paraId="20D0C496" w14:textId="77777777" w:rsidR="00004052" w:rsidRPr="00AF675F" w:rsidRDefault="00004052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lang w:val="sk-SK"/>
        </w:rPr>
      </w:pPr>
      <w:r w:rsidRPr="000A745C">
        <w:rPr>
          <w:rFonts w:ascii="Times New Roman" w:hAnsi="Times New Roman"/>
          <w:bCs/>
          <w:lang w:val="sk-SK"/>
        </w:rPr>
        <w:t>Z toho vo veku povinnej školskej dochádzky</w:t>
      </w:r>
      <w:r>
        <w:rPr>
          <w:rFonts w:ascii="Times New Roman" w:hAnsi="Times New Roman"/>
          <w:b/>
          <w:lang w:val="sk-SK"/>
        </w:rPr>
        <w:t>: 7 detí</w:t>
      </w:r>
    </w:p>
    <w:p w14:paraId="041282B7" w14:textId="77777777" w:rsidR="00D55A22" w:rsidRPr="00344189" w:rsidRDefault="00D55A22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 xml:space="preserve">Klientov v zariadení umiestnených cez </w:t>
      </w:r>
      <w:r w:rsidR="008624FA">
        <w:rPr>
          <w:rFonts w:ascii="Times New Roman" w:hAnsi="Times New Roman"/>
          <w:lang w:val="sk-SK"/>
        </w:rPr>
        <w:t>neodkladné</w:t>
      </w:r>
      <w:r>
        <w:rPr>
          <w:rFonts w:ascii="Times New Roman" w:hAnsi="Times New Roman"/>
          <w:lang w:val="sk-SK"/>
        </w:rPr>
        <w:t xml:space="preserve"> /vých. opatrenie : </w:t>
      </w:r>
      <w:r w:rsidR="00004052">
        <w:rPr>
          <w:rFonts w:ascii="Times New Roman" w:hAnsi="Times New Roman"/>
          <w:b/>
          <w:lang w:val="sk-SK"/>
        </w:rPr>
        <w:t xml:space="preserve">12, </w:t>
      </w:r>
      <w:proofErr w:type="spellStart"/>
      <w:r w:rsidR="00004052">
        <w:rPr>
          <w:rFonts w:ascii="Times New Roman" w:hAnsi="Times New Roman"/>
          <w:b/>
          <w:lang w:val="sk-SK"/>
        </w:rPr>
        <w:t>t.j</w:t>
      </w:r>
      <w:proofErr w:type="spellEnd"/>
      <w:r w:rsidR="00004052">
        <w:rPr>
          <w:rFonts w:ascii="Times New Roman" w:hAnsi="Times New Roman"/>
          <w:b/>
          <w:lang w:val="sk-SK"/>
        </w:rPr>
        <w:t>. 13</w:t>
      </w:r>
      <w:r>
        <w:rPr>
          <w:rFonts w:ascii="Times New Roman" w:hAnsi="Times New Roman"/>
          <w:b/>
          <w:lang w:val="sk-SK"/>
        </w:rPr>
        <w:t>%</w:t>
      </w:r>
    </w:p>
    <w:p w14:paraId="552D6040" w14:textId="77777777" w:rsidR="00D55A22" w:rsidRDefault="00D55A22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Cs/>
          <w:lang w:val="sk-SK"/>
        </w:rPr>
        <w:t>Priemerná dĺžka pobytu klienta na dobrovoľný pobyt :</w:t>
      </w:r>
      <w:r>
        <w:rPr>
          <w:rFonts w:ascii="Times New Roman" w:hAnsi="Times New Roman"/>
          <w:b/>
          <w:bCs/>
          <w:lang w:val="sk-SK"/>
        </w:rPr>
        <w:t xml:space="preserve"> </w:t>
      </w:r>
      <w:r w:rsidR="00004052">
        <w:rPr>
          <w:rFonts w:ascii="Times New Roman" w:hAnsi="Times New Roman"/>
          <w:b/>
          <w:bCs/>
          <w:lang w:val="sk-SK"/>
        </w:rPr>
        <w:t>9,1</w:t>
      </w:r>
      <w:r>
        <w:rPr>
          <w:rFonts w:ascii="Times New Roman" w:hAnsi="Times New Roman"/>
          <w:b/>
          <w:bCs/>
          <w:lang w:val="sk-SK"/>
        </w:rPr>
        <w:t xml:space="preserve"> mesiaca </w:t>
      </w:r>
    </w:p>
    <w:p w14:paraId="48D252D0" w14:textId="77777777" w:rsidR="00D55A22" w:rsidRDefault="00D55A22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Cs/>
          <w:lang w:val="sk-SK"/>
        </w:rPr>
        <w:t>Priemerná dĺžka pobytu klienta prijatého na predbežné/výchovné opatrenie:</w:t>
      </w:r>
      <w:r>
        <w:rPr>
          <w:rFonts w:ascii="Times New Roman" w:hAnsi="Times New Roman"/>
          <w:b/>
          <w:bCs/>
          <w:lang w:val="sk-SK"/>
        </w:rPr>
        <w:t xml:space="preserve"> 1</w:t>
      </w:r>
      <w:r w:rsidR="009D492D">
        <w:rPr>
          <w:rFonts w:ascii="Times New Roman" w:hAnsi="Times New Roman"/>
          <w:b/>
          <w:bCs/>
          <w:lang w:val="sk-SK"/>
        </w:rPr>
        <w:t>5</w:t>
      </w:r>
      <w:r>
        <w:rPr>
          <w:rFonts w:ascii="Times New Roman" w:hAnsi="Times New Roman"/>
          <w:b/>
          <w:bCs/>
          <w:lang w:val="sk-SK"/>
        </w:rPr>
        <w:t xml:space="preserve"> mesiac</w:t>
      </w:r>
      <w:r w:rsidR="00004052">
        <w:rPr>
          <w:rFonts w:ascii="Times New Roman" w:hAnsi="Times New Roman"/>
          <w:b/>
          <w:bCs/>
          <w:lang w:val="sk-SK"/>
        </w:rPr>
        <w:t>ov</w:t>
      </w:r>
      <w:r>
        <w:rPr>
          <w:rFonts w:ascii="Times New Roman" w:hAnsi="Times New Roman"/>
          <w:b/>
          <w:bCs/>
          <w:lang w:val="sk-SK"/>
        </w:rPr>
        <w:t xml:space="preserve"> </w:t>
      </w:r>
    </w:p>
    <w:p w14:paraId="47BFCE0D" w14:textId="77777777" w:rsidR="00D55A22" w:rsidRDefault="00D55A22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 xml:space="preserve">Priemerný vek klientov spolu: </w:t>
      </w:r>
      <w:r w:rsidR="009D492D" w:rsidRPr="009D492D">
        <w:rPr>
          <w:rFonts w:ascii="Times New Roman" w:hAnsi="Times New Roman"/>
          <w:b/>
          <w:bCs/>
          <w:lang w:val="sk-SK"/>
        </w:rPr>
        <w:t>2</w:t>
      </w:r>
      <w:r w:rsidR="000A745C">
        <w:rPr>
          <w:rFonts w:ascii="Times New Roman" w:hAnsi="Times New Roman"/>
          <w:b/>
          <w:bCs/>
          <w:lang w:val="sk-SK"/>
        </w:rPr>
        <w:t>3,3</w:t>
      </w:r>
      <w:r w:rsidRPr="00594881">
        <w:rPr>
          <w:rFonts w:ascii="Times New Roman" w:hAnsi="Times New Roman"/>
          <w:b/>
          <w:bCs/>
          <w:lang w:val="sk-SK"/>
        </w:rPr>
        <w:t xml:space="preserve"> roka</w:t>
      </w:r>
    </w:p>
    <w:p w14:paraId="2450B66B" w14:textId="77777777" w:rsidR="00D55A22" w:rsidRDefault="00D55A22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Cs/>
          <w:lang w:val="sk-SK"/>
        </w:rPr>
        <w:t>Priemerný vek</w:t>
      </w:r>
      <w:r w:rsidR="00A61F87">
        <w:rPr>
          <w:rFonts w:ascii="Times New Roman" w:hAnsi="Times New Roman"/>
          <w:bCs/>
          <w:lang w:val="sk-SK"/>
        </w:rPr>
        <w:t xml:space="preserve"> podľa pohlavia:</w:t>
      </w:r>
      <w:r w:rsidRPr="00594881">
        <w:rPr>
          <w:rFonts w:ascii="Times New Roman" w:hAnsi="Times New Roman"/>
          <w:b/>
          <w:bCs/>
          <w:lang w:val="sk-SK"/>
        </w:rPr>
        <w:t xml:space="preserve"> ženy </w:t>
      </w:r>
      <w:r w:rsidR="00A42085">
        <w:rPr>
          <w:rFonts w:ascii="Times New Roman" w:hAnsi="Times New Roman"/>
          <w:b/>
          <w:bCs/>
          <w:lang w:val="sk-SK"/>
        </w:rPr>
        <w:t>1</w:t>
      </w:r>
      <w:r w:rsidR="009D492D">
        <w:rPr>
          <w:rFonts w:ascii="Times New Roman" w:hAnsi="Times New Roman"/>
          <w:b/>
          <w:bCs/>
          <w:lang w:val="sk-SK"/>
        </w:rPr>
        <w:t>9,</w:t>
      </w:r>
      <w:r w:rsidR="000A745C">
        <w:rPr>
          <w:rFonts w:ascii="Times New Roman" w:hAnsi="Times New Roman"/>
          <w:b/>
          <w:bCs/>
          <w:lang w:val="sk-SK"/>
        </w:rPr>
        <w:t>7</w:t>
      </w:r>
      <w:r w:rsidR="00A42085">
        <w:rPr>
          <w:rFonts w:ascii="Times New Roman" w:hAnsi="Times New Roman"/>
          <w:b/>
          <w:bCs/>
          <w:lang w:val="sk-SK"/>
        </w:rPr>
        <w:t xml:space="preserve"> </w:t>
      </w:r>
      <w:r w:rsidRPr="00594881">
        <w:rPr>
          <w:rFonts w:ascii="Times New Roman" w:hAnsi="Times New Roman"/>
          <w:b/>
          <w:bCs/>
          <w:lang w:val="sk-SK"/>
        </w:rPr>
        <w:t xml:space="preserve"> muži </w:t>
      </w:r>
      <w:r w:rsidR="009D492D">
        <w:rPr>
          <w:rFonts w:ascii="Times New Roman" w:hAnsi="Times New Roman"/>
          <w:b/>
          <w:bCs/>
          <w:lang w:val="sk-SK"/>
        </w:rPr>
        <w:t>2</w:t>
      </w:r>
      <w:r w:rsidR="000A745C">
        <w:rPr>
          <w:rFonts w:ascii="Times New Roman" w:hAnsi="Times New Roman"/>
          <w:b/>
          <w:bCs/>
          <w:lang w:val="sk-SK"/>
        </w:rPr>
        <w:t>4</w:t>
      </w:r>
      <w:r w:rsidR="009D492D">
        <w:rPr>
          <w:rFonts w:ascii="Times New Roman" w:hAnsi="Times New Roman"/>
          <w:b/>
          <w:bCs/>
          <w:lang w:val="sk-SK"/>
        </w:rPr>
        <w:t>,6</w:t>
      </w:r>
      <w:r>
        <w:rPr>
          <w:rFonts w:ascii="Times New Roman" w:hAnsi="Times New Roman"/>
          <w:b/>
          <w:bCs/>
          <w:lang w:val="sk-SK"/>
        </w:rPr>
        <w:t xml:space="preserve"> rokov</w:t>
      </w:r>
    </w:p>
    <w:p w14:paraId="4772FDB6" w14:textId="77777777" w:rsidR="000A745C" w:rsidRDefault="000A745C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bCs/>
          <w:lang w:val="sk-SK"/>
        </w:rPr>
      </w:pPr>
      <w:r w:rsidRPr="00344189">
        <w:rPr>
          <w:rFonts w:ascii="Times New Roman" w:hAnsi="Times New Roman"/>
          <w:lang w:val="sk-SK"/>
        </w:rPr>
        <w:t>Úspešné ukončenie</w:t>
      </w:r>
      <w:r w:rsidR="00344189" w:rsidRPr="00344189">
        <w:rPr>
          <w:rFonts w:ascii="Times New Roman" w:hAnsi="Times New Roman"/>
          <w:lang w:val="sk-SK"/>
        </w:rPr>
        <w:t xml:space="preserve"> resocializačného pr</w:t>
      </w:r>
      <w:r w:rsidR="00442743">
        <w:rPr>
          <w:rFonts w:ascii="Times New Roman" w:hAnsi="Times New Roman"/>
          <w:lang w:val="sk-SK"/>
        </w:rPr>
        <w:t>o</w:t>
      </w:r>
      <w:r w:rsidR="00344189" w:rsidRPr="00344189">
        <w:rPr>
          <w:rFonts w:ascii="Times New Roman" w:hAnsi="Times New Roman"/>
          <w:lang w:val="sk-SK"/>
        </w:rPr>
        <w:t>gramu</w:t>
      </w:r>
      <w:r>
        <w:rPr>
          <w:rFonts w:ascii="Times New Roman" w:hAnsi="Times New Roman"/>
          <w:b/>
          <w:bCs/>
          <w:lang w:val="sk-SK"/>
        </w:rPr>
        <w:t>: 15</w:t>
      </w:r>
    </w:p>
    <w:p w14:paraId="217C1CF7" w14:textId="77777777" w:rsidR="000A745C" w:rsidRDefault="000A745C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bCs/>
          <w:lang w:val="sk-SK"/>
        </w:rPr>
      </w:pPr>
      <w:r w:rsidRPr="00344189">
        <w:rPr>
          <w:rFonts w:ascii="Times New Roman" w:hAnsi="Times New Roman"/>
          <w:lang w:val="sk-SK"/>
        </w:rPr>
        <w:t>Predčasné ukončenie v stabilizačnej fáze</w:t>
      </w:r>
      <w:r>
        <w:rPr>
          <w:rFonts w:ascii="Times New Roman" w:hAnsi="Times New Roman"/>
          <w:b/>
          <w:bCs/>
          <w:lang w:val="sk-SK"/>
        </w:rPr>
        <w:t>: 16</w:t>
      </w:r>
    </w:p>
    <w:p w14:paraId="316FEE26" w14:textId="77777777" w:rsidR="00344189" w:rsidRPr="000D2ACA" w:rsidRDefault="00344189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Cs/>
          <w:lang w:val="sk-SK"/>
        </w:rPr>
      </w:pPr>
      <w:r w:rsidRPr="00344189">
        <w:rPr>
          <w:rFonts w:ascii="Times New Roman" w:hAnsi="Times New Roman"/>
          <w:lang w:val="sk-SK"/>
        </w:rPr>
        <w:t>Ukončenie pobytu v adaptačnej fáze</w:t>
      </w:r>
      <w:r>
        <w:rPr>
          <w:rFonts w:ascii="Times New Roman" w:hAnsi="Times New Roman"/>
          <w:b/>
          <w:bCs/>
          <w:lang w:val="sk-SK"/>
        </w:rPr>
        <w:t xml:space="preserve">: 24, </w:t>
      </w:r>
      <w:proofErr w:type="spellStart"/>
      <w:r>
        <w:rPr>
          <w:rFonts w:ascii="Times New Roman" w:hAnsi="Times New Roman"/>
          <w:b/>
          <w:bCs/>
          <w:lang w:val="sk-SK"/>
        </w:rPr>
        <w:t>t.j</w:t>
      </w:r>
      <w:proofErr w:type="spellEnd"/>
      <w:r>
        <w:rPr>
          <w:rFonts w:ascii="Times New Roman" w:hAnsi="Times New Roman"/>
          <w:b/>
          <w:bCs/>
          <w:lang w:val="sk-SK"/>
        </w:rPr>
        <w:t>. 44 %</w:t>
      </w:r>
    </w:p>
    <w:p w14:paraId="2E0FE70C" w14:textId="77777777" w:rsidR="00D55A22" w:rsidRDefault="00D55A22" w:rsidP="00E97C28">
      <w:pPr>
        <w:spacing w:line="360" w:lineRule="auto"/>
        <w:rPr>
          <w:b/>
        </w:rPr>
      </w:pPr>
      <w:r w:rsidRPr="00C36C2A">
        <w:t>Zabezpečenie práce s klientom a súbežne s rodinou</w:t>
      </w:r>
      <w:r w:rsidRPr="009D492D">
        <w:rPr>
          <w:b/>
        </w:rPr>
        <w:t xml:space="preserve">: </w:t>
      </w:r>
      <w:r w:rsidR="009D492D" w:rsidRPr="009D492D">
        <w:rPr>
          <w:b/>
        </w:rPr>
        <w:t>77</w:t>
      </w:r>
      <w:r w:rsidRPr="00C36C2A">
        <w:rPr>
          <w:b/>
        </w:rPr>
        <w:t xml:space="preserve">, </w:t>
      </w:r>
      <w:proofErr w:type="spellStart"/>
      <w:r w:rsidRPr="00C36C2A">
        <w:rPr>
          <w:b/>
        </w:rPr>
        <w:t>t.j</w:t>
      </w:r>
      <w:proofErr w:type="spellEnd"/>
      <w:r w:rsidRPr="00C36C2A">
        <w:rPr>
          <w:b/>
        </w:rPr>
        <w:t xml:space="preserve">. </w:t>
      </w:r>
      <w:r w:rsidR="009D492D">
        <w:rPr>
          <w:b/>
        </w:rPr>
        <w:t>74</w:t>
      </w:r>
      <w:r w:rsidRPr="00C36C2A">
        <w:rPr>
          <w:b/>
        </w:rPr>
        <w:t xml:space="preserve"> % klientov</w:t>
      </w:r>
    </w:p>
    <w:p w14:paraId="331F7686" w14:textId="77777777" w:rsidR="00D55A22" w:rsidRDefault="00D55A22" w:rsidP="00E97C28">
      <w:pPr>
        <w:spacing w:line="360" w:lineRule="auto"/>
      </w:pPr>
      <w:r>
        <w:t xml:space="preserve">Zabezpečovanie prípravy na budúce povolanie: </w:t>
      </w:r>
      <w:r w:rsidR="009D492D" w:rsidRPr="009D492D">
        <w:rPr>
          <w:b/>
        </w:rPr>
        <w:t>25</w:t>
      </w:r>
      <w:r w:rsidRPr="00C36C2A">
        <w:rPr>
          <w:b/>
        </w:rPr>
        <w:t xml:space="preserve">, </w:t>
      </w:r>
      <w:proofErr w:type="spellStart"/>
      <w:r w:rsidRPr="00C36C2A">
        <w:rPr>
          <w:b/>
        </w:rPr>
        <w:t>t.j</w:t>
      </w:r>
      <w:proofErr w:type="spellEnd"/>
      <w:r w:rsidRPr="00C36C2A">
        <w:rPr>
          <w:b/>
        </w:rPr>
        <w:t xml:space="preserve">. </w:t>
      </w:r>
      <w:r w:rsidR="009D492D">
        <w:rPr>
          <w:b/>
        </w:rPr>
        <w:t>24</w:t>
      </w:r>
      <w:r w:rsidRPr="00C36C2A">
        <w:rPr>
          <w:b/>
        </w:rPr>
        <w:t xml:space="preserve"> % klientov</w:t>
      </w:r>
    </w:p>
    <w:p w14:paraId="5912D13D" w14:textId="77777777" w:rsidR="00A61F87" w:rsidRDefault="00676A3A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Cs/>
          <w:lang w:val="sk-SK"/>
        </w:rPr>
        <w:t>P</w:t>
      </w:r>
      <w:r w:rsidR="000D2ACA">
        <w:rPr>
          <w:rFonts w:ascii="Times New Roman" w:hAnsi="Times New Roman"/>
          <w:bCs/>
          <w:lang w:val="sk-SK"/>
        </w:rPr>
        <w:t>očet zamestnancov</w:t>
      </w:r>
      <w:r>
        <w:rPr>
          <w:rFonts w:ascii="Times New Roman" w:hAnsi="Times New Roman"/>
          <w:bCs/>
          <w:lang w:val="sk-SK"/>
        </w:rPr>
        <w:t xml:space="preserve"> k 31.12.201</w:t>
      </w:r>
      <w:r w:rsidR="000A745C">
        <w:rPr>
          <w:rFonts w:ascii="Times New Roman" w:hAnsi="Times New Roman"/>
          <w:bCs/>
          <w:lang w:val="sk-SK"/>
        </w:rPr>
        <w:t>9</w:t>
      </w:r>
      <w:r>
        <w:rPr>
          <w:rFonts w:ascii="Times New Roman" w:hAnsi="Times New Roman"/>
          <w:bCs/>
          <w:lang w:val="sk-SK"/>
        </w:rPr>
        <w:t xml:space="preserve"> :</w:t>
      </w:r>
      <w:r w:rsidR="000D2ACA">
        <w:rPr>
          <w:rFonts w:ascii="Times New Roman" w:hAnsi="Times New Roman"/>
          <w:b/>
          <w:bCs/>
          <w:lang w:val="sk-SK"/>
        </w:rPr>
        <w:t xml:space="preserve"> </w:t>
      </w:r>
      <w:r w:rsidR="000A745C">
        <w:rPr>
          <w:rFonts w:ascii="Times New Roman" w:hAnsi="Times New Roman"/>
          <w:b/>
          <w:bCs/>
          <w:lang w:val="sk-SK"/>
        </w:rPr>
        <w:t>20</w:t>
      </w:r>
      <w:r w:rsidR="00A61F87" w:rsidRPr="009D492D">
        <w:rPr>
          <w:rFonts w:ascii="Times New Roman" w:hAnsi="Times New Roman"/>
          <w:b/>
          <w:bCs/>
          <w:lang w:val="sk-SK"/>
        </w:rPr>
        <w:t xml:space="preserve"> </w:t>
      </w:r>
      <w:r w:rsidR="00A61F87">
        <w:rPr>
          <w:rFonts w:ascii="Times New Roman" w:hAnsi="Times New Roman"/>
          <w:b/>
          <w:bCs/>
          <w:lang w:val="sk-SK"/>
        </w:rPr>
        <w:t xml:space="preserve"> (z toho 1</w:t>
      </w:r>
      <w:r w:rsidR="000A745C">
        <w:rPr>
          <w:rFonts w:ascii="Times New Roman" w:hAnsi="Times New Roman"/>
          <w:b/>
          <w:bCs/>
          <w:lang w:val="sk-SK"/>
        </w:rPr>
        <w:t>8</w:t>
      </w:r>
      <w:r w:rsidR="00A61F87">
        <w:rPr>
          <w:rFonts w:ascii="Times New Roman" w:hAnsi="Times New Roman"/>
          <w:b/>
          <w:bCs/>
          <w:lang w:val="sk-SK"/>
        </w:rPr>
        <w:t xml:space="preserve"> plný prac. úväzok)</w:t>
      </w:r>
    </w:p>
    <w:p w14:paraId="41F1F3D7" w14:textId="77777777" w:rsidR="000D2ACA" w:rsidRDefault="00A61F87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bCs/>
          <w:lang w:val="sk-SK"/>
        </w:rPr>
      </w:pPr>
      <w:r w:rsidRPr="00A61F87">
        <w:rPr>
          <w:rFonts w:ascii="Times New Roman" w:hAnsi="Times New Roman"/>
          <w:bCs/>
          <w:lang w:val="sk-SK"/>
        </w:rPr>
        <w:t>Vysokoškolské vzdelanie zamestnancov</w:t>
      </w:r>
      <w:r>
        <w:rPr>
          <w:rFonts w:ascii="Times New Roman" w:hAnsi="Times New Roman"/>
          <w:b/>
          <w:bCs/>
          <w:lang w:val="sk-SK"/>
        </w:rPr>
        <w:t xml:space="preserve">: </w:t>
      </w:r>
      <w:r w:rsidR="000D2ACA">
        <w:rPr>
          <w:rFonts w:ascii="Times New Roman" w:hAnsi="Times New Roman"/>
          <w:b/>
          <w:bCs/>
          <w:lang w:val="sk-SK"/>
        </w:rPr>
        <w:t xml:space="preserve"> 1</w:t>
      </w:r>
      <w:r w:rsidR="000A745C">
        <w:rPr>
          <w:rFonts w:ascii="Times New Roman" w:hAnsi="Times New Roman"/>
          <w:b/>
          <w:bCs/>
          <w:lang w:val="sk-SK"/>
        </w:rPr>
        <w:t>2</w:t>
      </w:r>
      <w:r w:rsidR="000D2ACA">
        <w:rPr>
          <w:rFonts w:ascii="Times New Roman" w:hAnsi="Times New Roman"/>
          <w:b/>
          <w:bCs/>
          <w:lang w:val="sk-SK"/>
        </w:rPr>
        <w:t xml:space="preserve"> zamestnancov</w:t>
      </w:r>
      <w:r w:rsidR="00431349">
        <w:rPr>
          <w:rFonts w:ascii="Times New Roman" w:hAnsi="Times New Roman"/>
          <w:b/>
          <w:bCs/>
          <w:lang w:val="sk-SK"/>
        </w:rPr>
        <w:t xml:space="preserve"> , </w:t>
      </w:r>
      <w:proofErr w:type="spellStart"/>
      <w:r w:rsidR="00431349">
        <w:rPr>
          <w:rFonts w:ascii="Times New Roman" w:hAnsi="Times New Roman"/>
          <w:b/>
          <w:bCs/>
          <w:lang w:val="sk-SK"/>
        </w:rPr>
        <w:t>t.j</w:t>
      </w:r>
      <w:proofErr w:type="spellEnd"/>
      <w:r w:rsidR="00431349">
        <w:rPr>
          <w:rFonts w:ascii="Times New Roman" w:hAnsi="Times New Roman"/>
          <w:b/>
          <w:bCs/>
          <w:lang w:val="sk-SK"/>
        </w:rPr>
        <w:t xml:space="preserve">. </w:t>
      </w:r>
      <w:r w:rsidR="00733456">
        <w:rPr>
          <w:rFonts w:ascii="Times New Roman" w:hAnsi="Times New Roman"/>
          <w:b/>
          <w:bCs/>
          <w:lang w:val="sk-SK"/>
        </w:rPr>
        <w:t>6</w:t>
      </w:r>
      <w:r w:rsidR="000A745C">
        <w:rPr>
          <w:rFonts w:ascii="Times New Roman" w:hAnsi="Times New Roman"/>
          <w:b/>
          <w:bCs/>
          <w:lang w:val="sk-SK"/>
        </w:rPr>
        <w:t>0</w:t>
      </w:r>
      <w:r w:rsidR="00431349">
        <w:rPr>
          <w:rFonts w:ascii="Times New Roman" w:hAnsi="Times New Roman"/>
          <w:b/>
          <w:bCs/>
          <w:lang w:val="sk-SK"/>
        </w:rPr>
        <w:t xml:space="preserve"> %</w:t>
      </w:r>
    </w:p>
    <w:p w14:paraId="7A246168" w14:textId="77777777" w:rsidR="00344189" w:rsidRDefault="00344189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bCs/>
          <w:lang w:val="sk-SK"/>
        </w:rPr>
      </w:pPr>
      <w:r w:rsidRPr="00344189">
        <w:rPr>
          <w:rFonts w:ascii="Times New Roman" w:hAnsi="Times New Roman"/>
          <w:lang w:val="sk-SK"/>
        </w:rPr>
        <w:t>Ukončení v roku 2018 a </w:t>
      </w:r>
      <w:proofErr w:type="spellStart"/>
      <w:r w:rsidRPr="00344189">
        <w:rPr>
          <w:rFonts w:ascii="Times New Roman" w:hAnsi="Times New Roman"/>
          <w:lang w:val="sk-SK"/>
        </w:rPr>
        <w:t>dosledovaní</w:t>
      </w:r>
      <w:proofErr w:type="spellEnd"/>
      <w:r>
        <w:rPr>
          <w:rFonts w:ascii="Times New Roman" w:hAnsi="Times New Roman"/>
          <w:b/>
          <w:bCs/>
          <w:lang w:val="sk-SK"/>
        </w:rPr>
        <w:t xml:space="preserve">: 37 klientov, z toho 16 abstinujúcich, </w:t>
      </w:r>
      <w:proofErr w:type="spellStart"/>
      <w:r>
        <w:rPr>
          <w:rFonts w:ascii="Times New Roman" w:hAnsi="Times New Roman"/>
          <w:b/>
          <w:bCs/>
          <w:lang w:val="sk-SK"/>
        </w:rPr>
        <w:t>t.j</w:t>
      </w:r>
      <w:proofErr w:type="spellEnd"/>
      <w:r>
        <w:rPr>
          <w:rFonts w:ascii="Times New Roman" w:hAnsi="Times New Roman"/>
          <w:b/>
          <w:bCs/>
          <w:lang w:val="sk-SK"/>
        </w:rPr>
        <w:t>. 43 %</w:t>
      </w:r>
    </w:p>
    <w:p w14:paraId="60B9DEF8" w14:textId="77777777" w:rsidR="00BF164F" w:rsidRDefault="00BF164F" w:rsidP="00E97C28">
      <w:pPr>
        <w:pStyle w:val="Normlnywebov"/>
        <w:spacing w:before="0" w:beforeAutospacing="0" w:after="0" w:line="360" w:lineRule="auto"/>
        <w:rPr>
          <w:rFonts w:ascii="Times New Roman" w:hAnsi="Times New Roman"/>
          <w:b/>
          <w:bCs/>
          <w:lang w:val="sk-SK"/>
        </w:rPr>
      </w:pPr>
    </w:p>
    <w:p w14:paraId="55ABCA9A" w14:textId="77777777" w:rsidR="00D55A22" w:rsidRDefault="00D55A22" w:rsidP="00B41F6C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A741CE">
        <w:rPr>
          <w:b/>
          <w:i/>
          <w:sz w:val="28"/>
          <w:szCs w:val="28"/>
        </w:rPr>
        <w:t>Preferovaná droga klientov zariadenia:</w:t>
      </w:r>
    </w:p>
    <w:p w14:paraId="3A884F1C" w14:textId="77777777" w:rsidR="00D55A22" w:rsidRPr="00A741CE" w:rsidRDefault="00D55A22" w:rsidP="00B41F6C">
      <w:pPr>
        <w:spacing w:line="360" w:lineRule="auto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80"/>
      </w:tblGrid>
      <w:tr w:rsidR="00D55A22" w14:paraId="0A2800B4" w14:textId="77777777" w:rsidTr="00CC0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C4DC" w14:textId="77777777" w:rsidR="00D55A22" w:rsidRDefault="00D55A22" w:rsidP="00B41F6C">
            <w:pPr>
              <w:spacing w:line="360" w:lineRule="auto"/>
            </w:pPr>
            <w:r>
              <w:t xml:space="preserve">Počet klientov  celkovo             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DDAE" w14:textId="77777777" w:rsidR="00D55A22" w:rsidRDefault="000A745C" w:rsidP="003106F8">
            <w:pPr>
              <w:spacing w:line="360" w:lineRule="auto"/>
            </w:pPr>
            <w:r>
              <w:t>94</w:t>
            </w:r>
          </w:p>
        </w:tc>
      </w:tr>
      <w:tr w:rsidR="00D55A22" w14:paraId="71619DAB" w14:textId="77777777" w:rsidTr="00CC0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E7A" w14:textId="77777777" w:rsidR="00D55A22" w:rsidRDefault="00D55A22" w:rsidP="003106F8">
            <w:pPr>
              <w:spacing w:line="360" w:lineRule="auto"/>
            </w:pPr>
            <w:r>
              <w:t xml:space="preserve"> </w:t>
            </w:r>
            <w:r w:rsidR="003106F8">
              <w:t>Pervitín</w:t>
            </w:r>
            <w:r>
              <w:t xml:space="preserve">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1F6E" w14:textId="77777777" w:rsidR="00D55A22" w:rsidRDefault="000A745C" w:rsidP="003106F8">
            <w:pPr>
              <w:spacing w:line="360" w:lineRule="auto"/>
            </w:pPr>
            <w:r>
              <w:t>44</w:t>
            </w:r>
          </w:p>
        </w:tc>
      </w:tr>
      <w:tr w:rsidR="00D55A22" w14:paraId="2FCF9CA8" w14:textId="77777777" w:rsidTr="00CC0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99BD" w14:textId="77777777" w:rsidR="00D55A22" w:rsidRDefault="00D55A22" w:rsidP="00B41F6C">
            <w:pPr>
              <w:spacing w:line="360" w:lineRule="auto"/>
            </w:pPr>
            <w:r>
              <w:t xml:space="preserve"> </w:t>
            </w:r>
            <w:proofErr w:type="spellStart"/>
            <w:r>
              <w:t>Kanabinoidy</w:t>
            </w:r>
            <w:proofErr w:type="spellEnd"/>
            <w:r>
              <w:t xml:space="preserve"> samotné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C1CC" w14:textId="77777777" w:rsidR="00D55A22" w:rsidRDefault="000A745C" w:rsidP="003106F8">
            <w:pPr>
              <w:spacing w:line="360" w:lineRule="auto"/>
            </w:pPr>
            <w:r>
              <w:t>9</w:t>
            </w:r>
          </w:p>
        </w:tc>
      </w:tr>
      <w:tr w:rsidR="00D55A22" w14:paraId="6C74F974" w14:textId="77777777" w:rsidTr="00CC0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A216" w14:textId="77777777" w:rsidR="00D55A22" w:rsidRDefault="003106F8" w:rsidP="00B41F6C">
            <w:pPr>
              <w:spacing w:line="360" w:lineRule="auto"/>
            </w:pPr>
            <w:r>
              <w:t xml:space="preserve"> </w:t>
            </w:r>
            <w:r w:rsidR="00D55A22">
              <w:t xml:space="preserve">Heroín a iné opiáty  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03A7" w14:textId="77777777" w:rsidR="00D55A22" w:rsidRDefault="003106F8" w:rsidP="003106F8">
            <w:pPr>
              <w:spacing w:line="360" w:lineRule="auto"/>
            </w:pPr>
            <w:r>
              <w:t>1</w:t>
            </w:r>
          </w:p>
        </w:tc>
      </w:tr>
      <w:tr w:rsidR="00D55A22" w14:paraId="43B9C669" w14:textId="77777777" w:rsidTr="00CC0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C489" w14:textId="77777777" w:rsidR="00D55A22" w:rsidRDefault="00D55A22" w:rsidP="00B41F6C">
            <w:pPr>
              <w:spacing w:line="360" w:lineRule="auto"/>
            </w:pPr>
            <w:r>
              <w:t xml:space="preserve"> Alkohol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9D1A" w14:textId="77777777" w:rsidR="00D55A22" w:rsidRDefault="003106F8" w:rsidP="003106F8">
            <w:pPr>
              <w:spacing w:line="360" w:lineRule="auto"/>
            </w:pPr>
            <w:r>
              <w:t>1</w:t>
            </w:r>
            <w:r w:rsidR="000A745C">
              <w:t>9</w:t>
            </w:r>
          </w:p>
        </w:tc>
      </w:tr>
      <w:tr w:rsidR="00D55A22" w14:paraId="7AFE57F4" w14:textId="77777777" w:rsidTr="00CC0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8D6D" w14:textId="77777777" w:rsidR="00D55A22" w:rsidRDefault="00D55A22" w:rsidP="003106F8">
            <w:pPr>
              <w:spacing w:line="360" w:lineRule="auto"/>
            </w:pPr>
            <w:r>
              <w:t xml:space="preserve"> </w:t>
            </w:r>
            <w:r w:rsidR="003106F8">
              <w:t>Kokaín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5BED" w14:textId="77777777" w:rsidR="00D55A22" w:rsidRDefault="000A745C" w:rsidP="003106F8">
            <w:pPr>
              <w:spacing w:line="360" w:lineRule="auto"/>
            </w:pPr>
            <w:r>
              <w:t>2</w:t>
            </w:r>
          </w:p>
        </w:tc>
      </w:tr>
      <w:tr w:rsidR="00D55A22" w14:paraId="709EE340" w14:textId="77777777" w:rsidTr="00CC0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2913" w14:textId="77777777" w:rsidR="00D55A22" w:rsidRDefault="00D55A22" w:rsidP="003106F8">
            <w:pPr>
              <w:spacing w:line="360" w:lineRule="auto"/>
            </w:pPr>
            <w:r>
              <w:t xml:space="preserve"> </w:t>
            </w:r>
            <w:proofErr w:type="spellStart"/>
            <w:r w:rsidR="003106F8">
              <w:t>Polyužívatelia</w:t>
            </w:r>
            <w:proofErr w:type="spellEnd"/>
            <w:r w:rsidR="003106F8">
              <w:t xml:space="preserve"> a iné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7414" w14:textId="77777777" w:rsidR="00D55A22" w:rsidRDefault="003106F8" w:rsidP="003106F8">
            <w:pPr>
              <w:spacing w:line="360" w:lineRule="auto"/>
            </w:pPr>
            <w:r>
              <w:t>1</w:t>
            </w:r>
            <w:r w:rsidR="000A745C">
              <w:t>9</w:t>
            </w:r>
          </w:p>
        </w:tc>
      </w:tr>
      <w:tr w:rsidR="004249EF" w14:paraId="2E710F0C" w14:textId="77777777" w:rsidTr="00CC0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131A" w14:textId="77777777" w:rsidR="004249EF" w:rsidRDefault="004249EF" w:rsidP="00B41F6C">
            <w:pPr>
              <w:spacing w:line="360" w:lineRule="auto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81DE" w14:textId="77777777" w:rsidR="004249EF" w:rsidRDefault="004249EF" w:rsidP="00B41F6C">
            <w:pPr>
              <w:spacing w:line="360" w:lineRule="auto"/>
            </w:pPr>
          </w:p>
        </w:tc>
      </w:tr>
      <w:tr w:rsidR="00D55A22" w14:paraId="03B091F8" w14:textId="77777777" w:rsidTr="00CC0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FA54" w14:textId="77777777" w:rsidR="00D55A22" w:rsidRDefault="00D55A22" w:rsidP="00B41F6C">
            <w:pPr>
              <w:spacing w:line="360" w:lineRule="auto"/>
            </w:pPr>
            <w:r>
              <w:t xml:space="preserve"> Intravenózne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407B" w14:textId="77777777" w:rsidR="00D55A22" w:rsidRDefault="00F90B92" w:rsidP="00B41F6C">
            <w:pPr>
              <w:spacing w:line="360" w:lineRule="auto"/>
            </w:pPr>
            <w:r>
              <w:t>7</w:t>
            </w:r>
          </w:p>
        </w:tc>
      </w:tr>
      <w:tr w:rsidR="004249EF" w14:paraId="414A0FC4" w14:textId="77777777" w:rsidTr="00CC0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7E0F" w14:textId="77777777" w:rsidR="004249EF" w:rsidRDefault="004249EF" w:rsidP="00B41F6C">
            <w:pPr>
              <w:spacing w:line="360" w:lineRule="auto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CA4F" w14:textId="77777777" w:rsidR="004249EF" w:rsidRDefault="004249EF" w:rsidP="00B41F6C">
            <w:pPr>
              <w:spacing w:line="360" w:lineRule="auto"/>
            </w:pPr>
          </w:p>
        </w:tc>
      </w:tr>
    </w:tbl>
    <w:p w14:paraId="514BAE97" w14:textId="77777777" w:rsidR="00D55A22" w:rsidRDefault="00D55A22" w:rsidP="00B41F6C">
      <w:pPr>
        <w:pStyle w:val="Normlnywebov"/>
        <w:spacing w:before="0" w:beforeAutospacing="0" w:after="0" w:line="360" w:lineRule="auto"/>
        <w:rPr>
          <w:rFonts w:ascii="Times New Roman" w:hAnsi="Times New Roman"/>
          <w:b/>
        </w:rPr>
      </w:pPr>
    </w:p>
    <w:p w14:paraId="5F75AF45" w14:textId="77777777" w:rsidR="00BF164F" w:rsidRDefault="00BF164F" w:rsidP="00B41F6C">
      <w:pPr>
        <w:pStyle w:val="Normlnywebov"/>
        <w:spacing w:before="0" w:beforeAutospacing="0" w:after="0" w:line="360" w:lineRule="auto"/>
        <w:rPr>
          <w:rFonts w:ascii="Times New Roman" w:hAnsi="Times New Roman"/>
          <w:b/>
        </w:rPr>
      </w:pPr>
    </w:p>
    <w:p w14:paraId="40D1D0CB" w14:textId="77777777" w:rsidR="00BF164F" w:rsidRDefault="00BF164F" w:rsidP="00BF164F">
      <w:pPr>
        <w:pStyle w:val="Nadpis1"/>
      </w:pPr>
      <w:r w:rsidRPr="005A7BC2">
        <w:lastRenderedPageBreak/>
        <w:t>Príjmy organizácie a ich poskytovatelia v roku 201</w:t>
      </w:r>
      <w:r w:rsidR="000A745C">
        <w:t>9</w:t>
      </w:r>
      <w:r w:rsidRPr="005A7BC2">
        <w:t>:</w:t>
      </w:r>
    </w:p>
    <w:tbl>
      <w:tblPr>
        <w:tblW w:w="8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0"/>
      </w:tblGrid>
      <w:tr w:rsidR="006B1B65" w14:paraId="6190CB39" w14:textId="77777777" w:rsidTr="006B1B65">
        <w:trPr>
          <w:trHeight w:val="402"/>
        </w:trPr>
        <w:tc>
          <w:tcPr>
            <w:tcW w:w="8750" w:type="dxa"/>
            <w:noWrap/>
            <w:vAlign w:val="bottom"/>
            <w:hideMark/>
          </w:tcPr>
          <w:p w14:paraId="4C43D6B5" w14:textId="77777777" w:rsidR="006B1B65" w:rsidRDefault="006B1B65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  <w:tr w:rsidR="006B1B65" w14:paraId="16784A93" w14:textId="77777777" w:rsidTr="006B1B65">
        <w:trPr>
          <w:trHeight w:val="402"/>
        </w:trPr>
        <w:tc>
          <w:tcPr>
            <w:tcW w:w="8750" w:type="dxa"/>
            <w:noWrap/>
            <w:vAlign w:val="bottom"/>
            <w:hideMark/>
          </w:tcPr>
          <w:p w14:paraId="0AD13203" w14:textId="77777777" w:rsidR="006B1B65" w:rsidRDefault="006B1B65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Finančný príspevok  na prevádzku pre klientov</w:t>
            </w:r>
          </w:p>
        </w:tc>
      </w:tr>
      <w:tr w:rsidR="006B1B65" w14:paraId="48F4C478" w14:textId="77777777" w:rsidTr="006B1B65">
        <w:trPr>
          <w:trHeight w:val="402"/>
        </w:trPr>
        <w:tc>
          <w:tcPr>
            <w:tcW w:w="8750" w:type="dxa"/>
            <w:noWrap/>
            <w:vAlign w:val="bottom"/>
            <w:hideMark/>
          </w:tcPr>
          <w:p w14:paraId="1FD1A6B2" w14:textId="77777777" w:rsidR="006B1B65" w:rsidRDefault="006B1B65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Zmluvou s Ústredím PSVaR..............................................................    593 923,42    Eur</w:t>
            </w:r>
          </w:p>
        </w:tc>
      </w:tr>
      <w:tr w:rsidR="006B1B65" w14:paraId="41551E8F" w14:textId="77777777" w:rsidTr="006B1B65">
        <w:trPr>
          <w:trHeight w:val="402"/>
        </w:trPr>
        <w:tc>
          <w:tcPr>
            <w:tcW w:w="8750" w:type="dxa"/>
            <w:noWrap/>
            <w:vAlign w:val="bottom"/>
            <w:hideMark/>
          </w:tcPr>
          <w:p w14:paraId="71220635" w14:textId="77777777" w:rsidR="006B1B65" w:rsidRDefault="006B1B65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</w:p>
        </w:tc>
      </w:tr>
      <w:tr w:rsidR="006B1B65" w14:paraId="0FE489EC" w14:textId="77777777" w:rsidTr="006B1B65">
        <w:trPr>
          <w:trHeight w:val="402"/>
        </w:trPr>
        <w:tc>
          <w:tcPr>
            <w:tcW w:w="8750" w:type="dxa"/>
            <w:noWrap/>
            <w:vAlign w:val="bottom"/>
            <w:hideMark/>
          </w:tcPr>
          <w:p w14:paraId="79821ECD" w14:textId="77777777" w:rsidR="006B1B65" w:rsidRDefault="006B1B65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Príspevky klientov................................................................................... 23 344,46 Eur</w:t>
            </w:r>
          </w:p>
        </w:tc>
      </w:tr>
      <w:tr w:rsidR="006B1B65" w14:paraId="0B6307BD" w14:textId="77777777" w:rsidTr="006B1B65">
        <w:trPr>
          <w:trHeight w:val="402"/>
        </w:trPr>
        <w:tc>
          <w:tcPr>
            <w:tcW w:w="8750" w:type="dxa"/>
            <w:noWrap/>
            <w:vAlign w:val="bottom"/>
            <w:hideMark/>
          </w:tcPr>
          <w:p w14:paraId="4D8BE87E" w14:textId="77777777" w:rsidR="006B1B65" w:rsidRDefault="006B1B65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2 % dane................................................................................................... 11 160,61 Eur</w:t>
            </w:r>
          </w:p>
        </w:tc>
      </w:tr>
      <w:tr w:rsidR="006B1B65" w14:paraId="54810C21" w14:textId="77777777" w:rsidTr="006B1B65">
        <w:trPr>
          <w:trHeight w:val="402"/>
        </w:trPr>
        <w:tc>
          <w:tcPr>
            <w:tcW w:w="8750" w:type="dxa"/>
            <w:noWrap/>
            <w:vAlign w:val="bottom"/>
            <w:hideMark/>
          </w:tcPr>
          <w:p w14:paraId="712C8897" w14:textId="77777777" w:rsidR="006B1B65" w:rsidRDefault="006B1B65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Dary právnické osoby (Nadácia Aténa - drobný majetok)...................  1 620, 00   Eur</w:t>
            </w:r>
          </w:p>
        </w:tc>
      </w:tr>
      <w:tr w:rsidR="006B1B65" w14:paraId="294CB22C" w14:textId="77777777" w:rsidTr="006B1B65">
        <w:trPr>
          <w:trHeight w:val="402"/>
        </w:trPr>
        <w:tc>
          <w:tcPr>
            <w:tcW w:w="8750" w:type="dxa"/>
            <w:noWrap/>
            <w:vAlign w:val="bottom"/>
            <w:hideMark/>
          </w:tcPr>
          <w:p w14:paraId="75BB30D1" w14:textId="77777777" w:rsidR="006B1B65" w:rsidRDefault="006B1B65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Dary právnické osoby (Siemens CPF)...................................................      652,74 Eur</w:t>
            </w:r>
          </w:p>
        </w:tc>
      </w:tr>
      <w:tr w:rsidR="006B1B65" w14:paraId="2979FAD1" w14:textId="77777777" w:rsidTr="006B1B65">
        <w:trPr>
          <w:trHeight w:val="402"/>
        </w:trPr>
        <w:tc>
          <w:tcPr>
            <w:tcW w:w="8750" w:type="dxa"/>
            <w:noWrap/>
            <w:vAlign w:val="bottom"/>
            <w:hideMark/>
          </w:tcPr>
          <w:p w14:paraId="7E5BF95A" w14:textId="77777777" w:rsidR="006B1B65" w:rsidRDefault="006B1B65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Dary fyzické osoby.....................................................................................   550,00  Eur</w:t>
            </w:r>
          </w:p>
        </w:tc>
      </w:tr>
      <w:tr w:rsidR="006B1B65" w14:paraId="29854131" w14:textId="77777777" w:rsidTr="006B1B65">
        <w:trPr>
          <w:trHeight w:val="402"/>
        </w:trPr>
        <w:tc>
          <w:tcPr>
            <w:tcW w:w="8750" w:type="dxa"/>
            <w:noWrap/>
            <w:vAlign w:val="bottom"/>
            <w:hideMark/>
          </w:tcPr>
          <w:p w14:paraId="4797E6FD" w14:textId="77777777" w:rsidR="006B1B65" w:rsidRDefault="006B1B65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 xml:space="preserve">Ostatné príjmy.............................................................................................  170,00   Eur     </w:t>
            </w:r>
          </w:p>
        </w:tc>
      </w:tr>
    </w:tbl>
    <w:p w14:paraId="7822C100" w14:textId="77777777" w:rsidR="006E6AA7" w:rsidRPr="006E6AA7" w:rsidRDefault="006E6AA7" w:rsidP="006E6AA7">
      <w:pPr>
        <w:rPr>
          <w:lang w:eastAsia="sk-SK"/>
        </w:rPr>
      </w:pPr>
    </w:p>
    <w:p w14:paraId="685312C9" w14:textId="77777777" w:rsidR="00BF164F" w:rsidRPr="005A7BC2" w:rsidRDefault="00BF164F" w:rsidP="00BF164F">
      <w:pPr>
        <w:jc w:val="both"/>
      </w:pPr>
    </w:p>
    <w:p w14:paraId="5604978A" w14:textId="77777777" w:rsidR="00BF164F" w:rsidRPr="00BF164F" w:rsidRDefault="00BF164F" w:rsidP="00BF164F">
      <w:pPr>
        <w:jc w:val="both"/>
      </w:pPr>
      <w:r w:rsidRPr="00F90B92">
        <w:rPr>
          <w:bCs/>
        </w:rPr>
        <w:t xml:space="preserve">    </w:t>
      </w:r>
      <w:r w:rsidR="00F90B92" w:rsidRPr="00F90B92">
        <w:rPr>
          <w:bCs/>
        </w:rPr>
        <w:t>Na tomto</w:t>
      </w:r>
      <w:r>
        <w:t xml:space="preserve"> mieste</w:t>
      </w:r>
      <w:r w:rsidRPr="00BF164F">
        <w:t xml:space="preserve"> </w:t>
      </w:r>
      <w:r w:rsidR="00F90B92">
        <w:t xml:space="preserve">chceme </w:t>
      </w:r>
      <w:r w:rsidRPr="00BF164F">
        <w:t xml:space="preserve">zvýrazniť poďakovanie pre všetkých našich prispievateľov, darcov, sponzorov, podporovateľov, ktorí podľa svojich možností a schopností prispievajú na rozvíjanie nášho resocializačného </w:t>
      </w:r>
      <w:r>
        <w:t>centra</w:t>
      </w:r>
      <w:r w:rsidRPr="00BF164F">
        <w:t xml:space="preserve"> a tak napomáhajú realizovať aktivity, ktoré sú pre našich klientov mimoriadne potrebné</w:t>
      </w:r>
      <w:r>
        <w:t>. Ide o ak</w:t>
      </w:r>
      <w:r w:rsidR="007C2496">
        <w:t>t</w:t>
      </w:r>
      <w:r>
        <w:t>ivity, ktoré nebolo možné realizovať z verejných zdrojov, či už vzhľadom na rozpočet prevádzkových nákladov</w:t>
      </w:r>
      <w:r w:rsidR="00F90B92">
        <w:t xml:space="preserve"> a</w:t>
      </w:r>
      <w:r>
        <w:t xml:space="preserve"> metodickým usmernením </w:t>
      </w:r>
      <w:r w:rsidR="00F90B92">
        <w:t>ich možného využitia</w:t>
      </w:r>
      <w:r w:rsidRPr="00BF164F">
        <w:t>, ale</w:t>
      </w:r>
      <w:r w:rsidR="007C2496">
        <w:t xml:space="preserve">bo štátom nevytvorené dostatočné podmienky na </w:t>
      </w:r>
      <w:r w:rsidRPr="00BF164F">
        <w:t xml:space="preserve"> realiz</w:t>
      </w:r>
      <w:r w:rsidR="007C2496">
        <w:t>áciu</w:t>
      </w:r>
      <w:r w:rsidRPr="00BF164F">
        <w:t xml:space="preserve"> z verejných zdrojov.</w:t>
      </w:r>
    </w:p>
    <w:p w14:paraId="09365FE7" w14:textId="49F76F2D" w:rsidR="00BF164F" w:rsidRDefault="00BF164F" w:rsidP="00BF164F">
      <w:pPr>
        <w:jc w:val="both"/>
      </w:pPr>
      <w:r w:rsidRPr="00BF164F">
        <w:t xml:space="preserve">Ďakujeme všetkým, ktorí nie sú priamo menovaní, ale vedia, že aj ich </w:t>
      </w:r>
      <w:r w:rsidR="00473C91">
        <w:t>ochotou pomôcť vybudovať zázemie komunít pre klientov</w:t>
      </w:r>
      <w:r w:rsidR="00BB426B">
        <w:t xml:space="preserve"> sa vytvárajú podmienky na ich návrat do rodín s túžbou po novej kvalite živote</w:t>
      </w:r>
      <w:r w:rsidRPr="00BF164F">
        <w:t>.</w:t>
      </w:r>
    </w:p>
    <w:p w14:paraId="6AE5D785" w14:textId="0E89E721" w:rsidR="000C0EA1" w:rsidRDefault="000C0EA1" w:rsidP="00BF164F">
      <w:pPr>
        <w:jc w:val="both"/>
      </w:pPr>
    </w:p>
    <w:tbl>
      <w:tblPr>
        <w:tblW w:w="97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804"/>
        <w:gridCol w:w="3951"/>
        <w:gridCol w:w="1600"/>
        <w:gridCol w:w="1600"/>
        <w:gridCol w:w="1540"/>
        <w:gridCol w:w="160"/>
      </w:tblGrid>
      <w:tr w:rsidR="000C0EA1" w14:paraId="4DAC999A" w14:textId="77777777" w:rsidTr="000C0EA1">
        <w:trPr>
          <w:gridBefore w:val="1"/>
          <w:wBefore w:w="45" w:type="dxa"/>
          <w:trHeight w:val="1485"/>
        </w:trPr>
        <w:tc>
          <w:tcPr>
            <w:tcW w:w="9655" w:type="dxa"/>
            <w:gridSpan w:val="6"/>
            <w:vAlign w:val="center"/>
            <w:hideMark/>
          </w:tcPr>
          <w:p w14:paraId="2893EB0A" w14:textId="77777777" w:rsidR="000C0EA1" w:rsidRDefault="000C0EA1">
            <w:pPr>
              <w:spacing w:line="276" w:lineRule="auto"/>
              <w:jc w:val="center"/>
              <w:rPr>
                <w:b/>
                <w:bCs/>
                <w:color w:val="000000"/>
                <w:sz w:val="44"/>
                <w:szCs w:val="44"/>
                <w:lang w:eastAsia="sk-SK"/>
              </w:rPr>
            </w:pPr>
            <w:r>
              <w:rPr>
                <w:b/>
                <w:bCs/>
                <w:color w:val="000000"/>
                <w:sz w:val="44"/>
                <w:szCs w:val="44"/>
                <w:lang w:eastAsia="sk-SK"/>
              </w:rPr>
              <w:t>Stav a pohyb majetku a záväzkov organizácie</w:t>
            </w:r>
          </w:p>
        </w:tc>
      </w:tr>
      <w:tr w:rsidR="000C0EA1" w14:paraId="22AC5577" w14:textId="77777777" w:rsidTr="000C0EA1">
        <w:trPr>
          <w:gridAfter w:val="1"/>
          <w:wAfter w:w="160" w:type="dxa"/>
          <w:trHeight w:val="780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718D80E9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sk-SK"/>
              </w:rPr>
              <w:t>Názov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C974DEC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sk-SK"/>
              </w:rPr>
              <w:t>31.12.2019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954A80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sk-SK"/>
              </w:rPr>
              <w:t>31.12.2018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157DC55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sk-SK"/>
              </w:rPr>
              <w:t xml:space="preserve"> 31.12.2017</w:t>
            </w:r>
          </w:p>
        </w:tc>
      </w:tr>
      <w:tr w:rsidR="000C0EA1" w14:paraId="583F89ED" w14:textId="77777777" w:rsidTr="000C0EA1">
        <w:trPr>
          <w:gridAfter w:val="1"/>
          <w:wAfter w:w="160" w:type="dxa"/>
          <w:trHeight w:val="402"/>
        </w:trPr>
        <w:tc>
          <w:tcPr>
            <w:tcW w:w="4800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8576CA1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Neobežný majetok spolu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F3CE2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173656,00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F8AE8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150211,00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0DA32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247042,00</w:t>
            </w:r>
          </w:p>
        </w:tc>
      </w:tr>
      <w:tr w:rsidR="000C0EA1" w14:paraId="6D9E51ED" w14:textId="77777777" w:rsidTr="000C0EA1">
        <w:trPr>
          <w:gridAfter w:val="1"/>
          <w:wAfter w:w="160" w:type="dxa"/>
          <w:trHeight w:val="402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B3A2B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 toho: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6133AC5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dlhodobý hmotný majetok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2656A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173656,00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8926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150211,00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F312C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247042,00</w:t>
            </w:r>
          </w:p>
        </w:tc>
      </w:tr>
      <w:tr w:rsidR="000C0EA1" w14:paraId="721A2077" w14:textId="77777777" w:rsidTr="000C0EA1">
        <w:trPr>
          <w:gridAfter w:val="1"/>
          <w:wAfter w:w="160" w:type="dxa"/>
          <w:trHeight w:val="402"/>
        </w:trPr>
        <w:tc>
          <w:tcPr>
            <w:tcW w:w="4800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DB9F57E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Obežný majetok spolu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BE17B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64390,00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5E527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28640,00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4EF38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30316,00</w:t>
            </w:r>
          </w:p>
        </w:tc>
      </w:tr>
      <w:tr w:rsidR="000C0EA1" w14:paraId="04DCC408" w14:textId="77777777" w:rsidTr="000C0EA1">
        <w:trPr>
          <w:gridAfter w:val="1"/>
          <w:wAfter w:w="160" w:type="dxa"/>
          <w:trHeight w:val="402"/>
        </w:trPr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C6F5C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 toho: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8291F9F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zásoby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EF2B2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5871,00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19200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2167,00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ABCE0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5303,00</w:t>
            </w:r>
          </w:p>
        </w:tc>
      </w:tr>
      <w:tr w:rsidR="000C0EA1" w14:paraId="34ACF71B" w14:textId="77777777" w:rsidTr="000C0EA1">
        <w:trPr>
          <w:gridAfter w:val="1"/>
          <w:wAfter w:w="160" w:type="dxa"/>
          <w:trHeight w:val="4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148A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875BD5D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krátkodobé pohľadávky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E5A59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769,00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CDFB2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998,00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A7EC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2478,00</w:t>
            </w:r>
          </w:p>
        </w:tc>
      </w:tr>
      <w:tr w:rsidR="000C0EA1" w14:paraId="5F6142EC" w14:textId="77777777" w:rsidTr="000C0EA1">
        <w:trPr>
          <w:gridAfter w:val="1"/>
          <w:wAfter w:w="160" w:type="dxa"/>
          <w:trHeight w:val="4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8FA3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34F55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finančné účty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75808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57750,00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8F0D1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25475,00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B4775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22535,00</w:t>
            </w:r>
          </w:p>
        </w:tc>
      </w:tr>
      <w:tr w:rsidR="000C0EA1" w14:paraId="247AD488" w14:textId="77777777" w:rsidTr="000C0EA1">
        <w:trPr>
          <w:gridAfter w:val="1"/>
          <w:wAfter w:w="160" w:type="dxa"/>
          <w:trHeight w:val="402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513565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Časové rozlíšenie spolu - pohľadávky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7A3F7B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3270,00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E218B7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3701,00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DB05D0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4209,00</w:t>
            </w:r>
          </w:p>
        </w:tc>
      </w:tr>
      <w:tr w:rsidR="000C0EA1" w14:paraId="278D8DB3" w14:textId="77777777" w:rsidTr="000C0EA1">
        <w:trPr>
          <w:gridAfter w:val="1"/>
          <w:wAfter w:w="160" w:type="dxa"/>
          <w:trHeight w:val="630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7382253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Majetok spolu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89977A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241316,00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850E8B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182552,00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8BC190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281567,00</w:t>
            </w:r>
          </w:p>
        </w:tc>
      </w:tr>
      <w:tr w:rsidR="000C0EA1" w14:paraId="74F3B8D1" w14:textId="77777777" w:rsidTr="000C0EA1">
        <w:trPr>
          <w:gridAfter w:val="1"/>
          <w:wAfter w:w="160" w:type="dxa"/>
          <w:trHeight w:val="402"/>
        </w:trPr>
        <w:tc>
          <w:tcPr>
            <w:tcW w:w="48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C81E470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lastRenderedPageBreak/>
              <w:t>Vlastné zdroje krytia majetku spolu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5A9C8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85592,00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F1255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86968,00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F14F4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241203,00</w:t>
            </w:r>
          </w:p>
        </w:tc>
      </w:tr>
      <w:tr w:rsidR="000C0EA1" w14:paraId="18799793" w14:textId="77777777" w:rsidTr="000C0EA1">
        <w:trPr>
          <w:gridAfter w:val="1"/>
          <w:wAfter w:w="160" w:type="dxa"/>
          <w:trHeight w:val="402"/>
        </w:trPr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062482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z toho: 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7B36F5D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imanie a peňažné fondy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3F7FC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5478,00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D5709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5478,00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0E1F6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5478,00</w:t>
            </w:r>
          </w:p>
        </w:tc>
      </w:tr>
      <w:tr w:rsidR="000C0EA1" w14:paraId="104BFD3C" w14:textId="77777777" w:rsidTr="000C0EA1">
        <w:trPr>
          <w:gridAfter w:val="1"/>
          <w:wAfter w:w="160" w:type="dxa"/>
          <w:trHeight w:val="4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A9F6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65D07C0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nevyspor</w:t>
            </w:r>
            <w:proofErr w:type="spellEnd"/>
            <w:r>
              <w:rPr>
                <w:color w:val="000000"/>
                <w:lang w:eastAsia="sk-SK"/>
              </w:rPr>
              <w:t>. VH minulých rokov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F323A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81607,00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6E756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106891,00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5A948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255729,00</w:t>
            </w:r>
          </w:p>
        </w:tc>
      </w:tr>
      <w:tr w:rsidR="000C0EA1" w14:paraId="6F5040F8" w14:textId="77777777" w:rsidTr="000C0EA1">
        <w:trPr>
          <w:gridAfter w:val="1"/>
          <w:wAfter w:w="160" w:type="dxa"/>
          <w:trHeight w:val="4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EA49D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43DEF41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výsledok hosp. za účtovné obdobie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070BF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-1493,00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22AF2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-25401,00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684C5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-20004,00</w:t>
            </w:r>
          </w:p>
        </w:tc>
      </w:tr>
      <w:tr w:rsidR="000C0EA1" w14:paraId="5CABAB31" w14:textId="77777777" w:rsidTr="000C0EA1">
        <w:trPr>
          <w:gridAfter w:val="1"/>
          <w:wAfter w:w="160" w:type="dxa"/>
          <w:trHeight w:val="402"/>
        </w:trPr>
        <w:tc>
          <w:tcPr>
            <w:tcW w:w="48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D96E44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Cudzie zdroje spolu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106D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84110,00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B0AD4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59748,00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B29B3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17428,00</w:t>
            </w:r>
          </w:p>
        </w:tc>
      </w:tr>
      <w:tr w:rsidR="000C0EA1" w14:paraId="50D45B22" w14:textId="77777777" w:rsidTr="000C0EA1">
        <w:trPr>
          <w:gridAfter w:val="1"/>
          <w:wAfter w:w="160" w:type="dxa"/>
          <w:trHeight w:val="402"/>
        </w:trPr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D3579C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 toho: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D4C93A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rezervy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86979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27079,00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311AA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12575,00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95DE8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13302,00</w:t>
            </w:r>
          </w:p>
        </w:tc>
      </w:tr>
      <w:tr w:rsidR="000C0EA1" w14:paraId="01C981C4" w14:textId="77777777" w:rsidTr="000C0EA1">
        <w:trPr>
          <w:gridAfter w:val="1"/>
          <w:wAfter w:w="160" w:type="dxa"/>
          <w:trHeight w:val="4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8F69F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BDA38B5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dlhodobé záväzky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E56D7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2907,00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63CD6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22403,00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8C990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2772,00</w:t>
            </w:r>
          </w:p>
        </w:tc>
      </w:tr>
      <w:tr w:rsidR="000C0EA1" w14:paraId="22A48EE4" w14:textId="77777777" w:rsidTr="000C0EA1">
        <w:trPr>
          <w:gridAfter w:val="1"/>
          <w:wAfter w:w="160" w:type="dxa"/>
          <w:trHeight w:val="4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F79F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BF6A2E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krátkodobé fin. výpomoci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921E9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87CA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4274E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0,00</w:t>
            </w:r>
          </w:p>
        </w:tc>
      </w:tr>
      <w:tr w:rsidR="000C0EA1" w14:paraId="2F12BAB7" w14:textId="77777777" w:rsidTr="000C0EA1">
        <w:trPr>
          <w:gridAfter w:val="1"/>
          <w:wAfter w:w="160" w:type="dxa"/>
          <w:trHeight w:val="4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A731B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1EEA815" w14:textId="77777777" w:rsidR="000C0EA1" w:rsidRDefault="000C0EA1">
            <w:pPr>
              <w:suppressAutoHyphens w:val="0"/>
              <w:spacing w:line="276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krátkodobé záväzky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D5DE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37645,00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36DE1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24770,00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B2E79" w14:textId="77777777" w:rsidR="000C0EA1" w:rsidRDefault="000C0EA1">
            <w:pPr>
              <w:suppressAutoHyphens w:val="0"/>
              <w:spacing w:line="276" w:lineRule="auto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1354,00</w:t>
            </w:r>
          </w:p>
        </w:tc>
      </w:tr>
      <w:tr w:rsidR="000C0EA1" w14:paraId="623EDB1E" w14:textId="77777777" w:rsidTr="000C0EA1">
        <w:trPr>
          <w:gridAfter w:val="1"/>
          <w:wAfter w:w="160" w:type="dxa"/>
          <w:trHeight w:val="402"/>
        </w:trPr>
        <w:tc>
          <w:tcPr>
            <w:tcW w:w="48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C91C18A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Časové rozlíšenie spolu - záväzky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BABAC6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71614,00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9C30A5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35836,00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030760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22936,00</w:t>
            </w:r>
          </w:p>
        </w:tc>
      </w:tr>
      <w:tr w:rsidR="000C0EA1" w14:paraId="6E417CCC" w14:textId="77777777" w:rsidTr="000C0EA1">
        <w:trPr>
          <w:gridAfter w:val="1"/>
          <w:wAfter w:w="160" w:type="dxa"/>
          <w:trHeight w:val="705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6907CF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Záväzky, zdroje spolu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5D57FA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241316,00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051279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182552,00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A28126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281567,00</w:t>
            </w:r>
          </w:p>
        </w:tc>
      </w:tr>
    </w:tbl>
    <w:p w14:paraId="615D90D3" w14:textId="77777777" w:rsidR="000C0EA1" w:rsidRDefault="000C0EA1" w:rsidP="000C0EA1"/>
    <w:p w14:paraId="5D89CC16" w14:textId="77777777" w:rsidR="000C0EA1" w:rsidRDefault="000C0EA1" w:rsidP="000C0EA1">
      <w:pPr>
        <w:rPr>
          <w:b/>
          <w:sz w:val="44"/>
          <w:szCs w:val="44"/>
        </w:rPr>
      </w:pPr>
    </w:p>
    <w:p w14:paraId="0A67553E" w14:textId="77777777" w:rsidR="000C0EA1" w:rsidRDefault="000C0EA1" w:rsidP="000C0E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Prehľad o výnosoch a nákladoch</w:t>
      </w:r>
    </w:p>
    <w:tbl>
      <w:tblPr>
        <w:tblW w:w="792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5875"/>
        <w:gridCol w:w="1960"/>
        <w:gridCol w:w="45"/>
      </w:tblGrid>
      <w:tr w:rsidR="000C0EA1" w14:paraId="4A641147" w14:textId="77777777" w:rsidTr="000C0EA1">
        <w:trPr>
          <w:gridBefore w:val="1"/>
          <w:wBefore w:w="45" w:type="dxa"/>
          <w:trHeight w:val="582"/>
        </w:trPr>
        <w:tc>
          <w:tcPr>
            <w:tcW w:w="7880" w:type="dxa"/>
            <w:gridSpan w:val="3"/>
            <w:vMerge w:val="restart"/>
            <w:noWrap/>
            <w:vAlign w:val="center"/>
          </w:tcPr>
          <w:p w14:paraId="393DD88E" w14:textId="77777777" w:rsidR="000C0EA1" w:rsidRDefault="000C0EA1">
            <w:pPr>
              <w:spacing w:line="276" w:lineRule="auto"/>
              <w:jc w:val="center"/>
              <w:rPr>
                <w:b/>
                <w:bCs/>
                <w:i/>
                <w:sz w:val="44"/>
                <w:szCs w:val="44"/>
                <w:lang w:eastAsia="sk-SK"/>
              </w:rPr>
            </w:pPr>
          </w:p>
          <w:p w14:paraId="14A99FCC" w14:textId="77777777" w:rsidR="000C0EA1" w:rsidRDefault="000C0EA1">
            <w:pPr>
              <w:spacing w:line="276" w:lineRule="auto"/>
              <w:jc w:val="center"/>
              <w:rPr>
                <w:b/>
                <w:bCs/>
                <w:i/>
                <w:sz w:val="44"/>
                <w:szCs w:val="44"/>
                <w:lang w:eastAsia="sk-SK"/>
              </w:rPr>
            </w:pPr>
            <w:r>
              <w:rPr>
                <w:b/>
                <w:bCs/>
                <w:i/>
                <w:sz w:val="44"/>
                <w:szCs w:val="44"/>
                <w:lang w:eastAsia="sk-SK"/>
              </w:rPr>
              <w:t>Výnosy</w:t>
            </w:r>
          </w:p>
        </w:tc>
      </w:tr>
      <w:tr w:rsidR="000C0EA1" w14:paraId="668803F6" w14:textId="77777777" w:rsidTr="000C0EA1">
        <w:trPr>
          <w:gridBefore w:val="1"/>
          <w:wBefore w:w="45" w:type="dxa"/>
          <w:trHeight w:val="517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F7A529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i/>
                <w:sz w:val="44"/>
                <w:szCs w:val="44"/>
                <w:lang w:eastAsia="sk-SK"/>
              </w:rPr>
            </w:pPr>
          </w:p>
        </w:tc>
      </w:tr>
      <w:tr w:rsidR="000C0EA1" w14:paraId="5AD6CAE9" w14:textId="77777777" w:rsidTr="000C0EA1">
        <w:trPr>
          <w:gridAfter w:val="1"/>
          <w:wAfter w:w="45" w:type="dxa"/>
          <w:trHeight w:val="600"/>
        </w:trPr>
        <w:tc>
          <w:tcPr>
            <w:tcW w:w="5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EE21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Tržby z predaja služieb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0A1821D6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170,00</w:t>
            </w:r>
          </w:p>
        </w:tc>
      </w:tr>
      <w:tr w:rsidR="000C0EA1" w14:paraId="16D71E4B" w14:textId="77777777" w:rsidTr="000C0EA1">
        <w:trPr>
          <w:gridAfter w:val="1"/>
          <w:wAfter w:w="45" w:type="dxa"/>
          <w:trHeight w:val="600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2103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 xml:space="preserve">Prijaté príspevky od iných organizácií </w:t>
            </w:r>
            <w:r>
              <w:rPr>
                <w:color w:val="000000"/>
                <w:lang w:eastAsia="sk-SK"/>
              </w:rPr>
              <w:t>(bezúčelové a prislúchajúca suma účelových darov na aktuálny rok)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D865E29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10186,74</w:t>
            </w:r>
          </w:p>
        </w:tc>
      </w:tr>
      <w:tr w:rsidR="000C0EA1" w14:paraId="5864E1D5" w14:textId="77777777" w:rsidTr="000C0EA1">
        <w:trPr>
          <w:gridAfter w:val="1"/>
          <w:wAfter w:w="45" w:type="dxa"/>
          <w:trHeight w:val="600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1DD17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Prijaté príspevky od fyzických osôb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37B9DE3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550,00</w:t>
            </w:r>
          </w:p>
        </w:tc>
      </w:tr>
      <w:tr w:rsidR="000C0EA1" w14:paraId="4161D152" w14:textId="77777777" w:rsidTr="000C0EA1">
        <w:trPr>
          <w:gridAfter w:val="1"/>
          <w:wAfter w:w="45" w:type="dxa"/>
          <w:trHeight w:val="600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9673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Iné výnosy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2F08D19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0,00</w:t>
            </w:r>
          </w:p>
        </w:tc>
      </w:tr>
      <w:tr w:rsidR="000C0EA1" w14:paraId="04383397" w14:textId="77777777" w:rsidTr="000C0EA1">
        <w:trPr>
          <w:gridAfter w:val="1"/>
          <w:wAfter w:w="45" w:type="dxa"/>
          <w:trHeight w:val="600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1D70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 xml:space="preserve">Tržby z predaja dlhodobého </w:t>
            </w:r>
            <w:proofErr w:type="spellStart"/>
            <w:r>
              <w:rPr>
                <w:b/>
                <w:bCs/>
                <w:color w:val="000000"/>
                <w:lang w:eastAsia="sk-SK"/>
              </w:rPr>
              <w:t>hmot</w:t>
            </w:r>
            <w:proofErr w:type="spellEnd"/>
            <w:r>
              <w:rPr>
                <w:b/>
                <w:bCs/>
                <w:color w:val="000000"/>
                <w:lang w:eastAsia="sk-SK"/>
              </w:rPr>
              <w:t xml:space="preserve">. a </w:t>
            </w:r>
            <w:proofErr w:type="spellStart"/>
            <w:r>
              <w:rPr>
                <w:b/>
                <w:bCs/>
                <w:color w:val="000000"/>
                <w:lang w:eastAsia="sk-SK"/>
              </w:rPr>
              <w:t>nehmot</w:t>
            </w:r>
            <w:proofErr w:type="spellEnd"/>
            <w:r>
              <w:rPr>
                <w:b/>
                <w:bCs/>
                <w:color w:val="000000"/>
                <w:lang w:eastAsia="sk-SK"/>
              </w:rPr>
              <w:t>. majetku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C7E4C0C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400,00</w:t>
            </w:r>
          </w:p>
        </w:tc>
      </w:tr>
      <w:tr w:rsidR="000C0EA1" w14:paraId="4FE64735" w14:textId="77777777" w:rsidTr="000C0EA1">
        <w:trPr>
          <w:gridAfter w:val="1"/>
          <w:wAfter w:w="45" w:type="dxa"/>
          <w:trHeight w:val="600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FE96A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Prijaté  príspevky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124A853E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23344,46</w:t>
            </w:r>
          </w:p>
        </w:tc>
      </w:tr>
      <w:tr w:rsidR="000C0EA1" w14:paraId="19643184" w14:textId="77777777" w:rsidTr="000C0EA1">
        <w:trPr>
          <w:gridAfter w:val="1"/>
          <w:wAfter w:w="45" w:type="dxa"/>
          <w:trHeight w:val="402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921F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 príspevky - platené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E608F3F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13112,06</w:t>
            </w:r>
          </w:p>
        </w:tc>
      </w:tr>
      <w:tr w:rsidR="000C0EA1" w14:paraId="2412AF2F" w14:textId="77777777" w:rsidTr="000C0EA1">
        <w:trPr>
          <w:gridAfter w:val="1"/>
          <w:wAfter w:w="45" w:type="dxa"/>
          <w:trHeight w:val="402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4F53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 príspevky - dávky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00BE9BC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10232,40</w:t>
            </w:r>
          </w:p>
        </w:tc>
      </w:tr>
      <w:tr w:rsidR="000C0EA1" w14:paraId="042FD650" w14:textId="77777777" w:rsidTr="000C0EA1">
        <w:trPr>
          <w:gridAfter w:val="1"/>
          <w:wAfter w:w="45" w:type="dxa"/>
          <w:trHeight w:val="600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6866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Príspevky podiel. dane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11CD1874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11171,63</w:t>
            </w:r>
          </w:p>
        </w:tc>
      </w:tr>
      <w:tr w:rsidR="000C0EA1" w14:paraId="238E0736" w14:textId="77777777" w:rsidTr="000C0EA1">
        <w:trPr>
          <w:gridAfter w:val="1"/>
          <w:wAfter w:w="45" w:type="dxa"/>
          <w:trHeight w:val="402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D6912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aktuálny rok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0F49F3E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3336,40</w:t>
            </w:r>
          </w:p>
        </w:tc>
      </w:tr>
      <w:tr w:rsidR="000C0EA1" w14:paraId="6C0B8E97" w14:textId="77777777" w:rsidTr="000C0EA1">
        <w:trPr>
          <w:gridAfter w:val="1"/>
          <w:wAfter w:w="45" w:type="dxa"/>
          <w:trHeight w:val="402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7557F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min. období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0657A96E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7835,23</w:t>
            </w:r>
          </w:p>
        </w:tc>
      </w:tr>
      <w:tr w:rsidR="000C0EA1" w14:paraId="156E31FA" w14:textId="77777777" w:rsidTr="000C0EA1">
        <w:trPr>
          <w:gridAfter w:val="1"/>
          <w:wAfter w:w="45" w:type="dxa"/>
          <w:trHeight w:val="600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A2873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Dotácie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0D9E8558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600569,94</w:t>
            </w:r>
          </w:p>
        </w:tc>
      </w:tr>
      <w:tr w:rsidR="000C0EA1" w14:paraId="7F6CFB22" w14:textId="77777777" w:rsidTr="000C0EA1">
        <w:trPr>
          <w:gridAfter w:val="1"/>
          <w:wAfter w:w="45" w:type="dxa"/>
          <w:trHeight w:val="402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FEF5B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lastRenderedPageBreak/>
              <w:t xml:space="preserve">Dotácia - </w:t>
            </w:r>
            <w:proofErr w:type="spellStart"/>
            <w:r>
              <w:rPr>
                <w:color w:val="000000"/>
                <w:lang w:eastAsia="sk-SK"/>
              </w:rPr>
              <w:t>UPSVaR</w:t>
            </w:r>
            <w:proofErr w:type="spellEnd"/>
            <w:r>
              <w:rPr>
                <w:color w:val="000000"/>
                <w:lang w:eastAsia="sk-SK"/>
              </w:rPr>
              <w:t xml:space="preserve"> klienti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A0E3DFE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593923,42</w:t>
            </w:r>
          </w:p>
        </w:tc>
      </w:tr>
      <w:tr w:rsidR="000C0EA1" w14:paraId="07C5C207" w14:textId="77777777" w:rsidTr="000C0EA1">
        <w:trPr>
          <w:gridAfter w:val="1"/>
          <w:wAfter w:w="45" w:type="dxa"/>
          <w:trHeight w:val="402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EB3A98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Dotácia - </w:t>
            </w:r>
            <w:proofErr w:type="spellStart"/>
            <w:r>
              <w:rPr>
                <w:color w:val="000000"/>
                <w:lang w:eastAsia="sk-SK"/>
              </w:rPr>
              <w:t>UPSVaR</w:t>
            </w:r>
            <w:proofErr w:type="spellEnd"/>
            <w:r>
              <w:rPr>
                <w:color w:val="000000"/>
                <w:lang w:eastAsia="sk-SK"/>
              </w:rPr>
              <w:t xml:space="preserve"> (</w:t>
            </w:r>
            <w:proofErr w:type="spellStart"/>
            <w:r>
              <w:rPr>
                <w:color w:val="000000"/>
                <w:lang w:eastAsia="sk-SK"/>
              </w:rPr>
              <w:t>ref</w:t>
            </w:r>
            <w:proofErr w:type="spellEnd"/>
            <w:r>
              <w:rPr>
                <w:color w:val="000000"/>
                <w:lang w:eastAsia="sk-SK"/>
              </w:rPr>
              <w:t>. mzdy)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5339AC7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459,52</w:t>
            </w:r>
          </w:p>
        </w:tc>
      </w:tr>
      <w:tr w:rsidR="000C0EA1" w14:paraId="7A63F363" w14:textId="77777777" w:rsidTr="000C0EA1">
        <w:trPr>
          <w:gridAfter w:val="1"/>
          <w:wAfter w:w="45" w:type="dxa"/>
          <w:trHeight w:val="402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B13213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Dotácia - </w:t>
            </w:r>
            <w:proofErr w:type="spellStart"/>
            <w:r>
              <w:rPr>
                <w:color w:val="000000"/>
                <w:lang w:eastAsia="sk-SK"/>
              </w:rPr>
              <w:t>zúčt</w:t>
            </w:r>
            <w:proofErr w:type="spellEnd"/>
            <w:r>
              <w:rPr>
                <w:color w:val="000000"/>
                <w:lang w:eastAsia="sk-SK"/>
              </w:rPr>
              <w:t>. z minulých rokov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0DAF132" w14:textId="77777777" w:rsidR="000C0EA1" w:rsidRDefault="000C0EA1">
            <w:pPr>
              <w:suppressAutoHyphens w:val="0"/>
              <w:spacing w:line="276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6187,00</w:t>
            </w:r>
          </w:p>
        </w:tc>
      </w:tr>
      <w:tr w:rsidR="000C0EA1" w14:paraId="0A1E634C" w14:textId="77777777" w:rsidTr="000C0EA1">
        <w:trPr>
          <w:gridAfter w:val="1"/>
          <w:wAfter w:w="45" w:type="dxa"/>
          <w:trHeight w:val="615"/>
        </w:trPr>
        <w:tc>
          <w:tcPr>
            <w:tcW w:w="5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77D1034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Výnosy spolu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E382D1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646392,77</w:t>
            </w:r>
          </w:p>
        </w:tc>
      </w:tr>
      <w:tr w:rsidR="000C0EA1" w14:paraId="6BFC01BC" w14:textId="77777777" w:rsidTr="000C0EA1">
        <w:trPr>
          <w:gridAfter w:val="1"/>
          <w:wAfter w:w="45" w:type="dxa"/>
          <w:trHeight w:val="402"/>
        </w:trPr>
        <w:tc>
          <w:tcPr>
            <w:tcW w:w="5920" w:type="dxa"/>
            <w:gridSpan w:val="2"/>
            <w:noWrap/>
            <w:vAlign w:val="bottom"/>
            <w:hideMark/>
          </w:tcPr>
          <w:p w14:paraId="4AD40624" w14:textId="77777777" w:rsidR="000C0EA1" w:rsidRDefault="000C0EA1"/>
        </w:tc>
        <w:tc>
          <w:tcPr>
            <w:tcW w:w="1960" w:type="dxa"/>
            <w:noWrap/>
            <w:vAlign w:val="bottom"/>
            <w:hideMark/>
          </w:tcPr>
          <w:p w14:paraId="42FC815F" w14:textId="77777777" w:rsidR="000C0EA1" w:rsidRDefault="000C0EA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0C0EA1" w14:paraId="0CA73309" w14:textId="77777777" w:rsidTr="000C0EA1">
        <w:trPr>
          <w:gridAfter w:val="1"/>
          <w:wAfter w:w="45" w:type="dxa"/>
          <w:trHeight w:val="402"/>
        </w:trPr>
        <w:tc>
          <w:tcPr>
            <w:tcW w:w="5920" w:type="dxa"/>
            <w:gridSpan w:val="2"/>
            <w:noWrap/>
            <w:vAlign w:val="bottom"/>
          </w:tcPr>
          <w:p w14:paraId="3DDB7C89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960" w:type="dxa"/>
            <w:noWrap/>
            <w:vAlign w:val="center"/>
          </w:tcPr>
          <w:p w14:paraId="28457BB2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  <w:lang w:eastAsia="sk-SK"/>
              </w:rPr>
            </w:pPr>
          </w:p>
        </w:tc>
      </w:tr>
    </w:tbl>
    <w:p w14:paraId="055D8BCF" w14:textId="77777777" w:rsidR="000C0EA1" w:rsidRDefault="000C0EA1" w:rsidP="000C0EA1"/>
    <w:p w14:paraId="70C925C4" w14:textId="77777777" w:rsidR="000C0EA1" w:rsidRDefault="000C0EA1" w:rsidP="000C0EA1"/>
    <w:p w14:paraId="6FBAB86D" w14:textId="77777777" w:rsidR="000C0EA1" w:rsidRDefault="000C0EA1" w:rsidP="000C0EA1"/>
    <w:tbl>
      <w:tblPr>
        <w:tblW w:w="922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0C0EA1" w14:paraId="28F57977" w14:textId="77777777" w:rsidTr="000C0EA1">
        <w:trPr>
          <w:trHeight w:val="615"/>
        </w:trPr>
        <w:tc>
          <w:tcPr>
            <w:tcW w:w="9229" w:type="dxa"/>
            <w:noWrap/>
            <w:vAlign w:val="center"/>
            <w:hideMark/>
          </w:tcPr>
          <w:p w14:paraId="694220E9" w14:textId="77777777" w:rsidR="000C0EA1" w:rsidRDefault="000C0EA1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44"/>
                <w:szCs w:val="44"/>
                <w:lang w:eastAsia="sk-SK"/>
              </w:rPr>
            </w:pPr>
            <w:r>
              <w:rPr>
                <w:b/>
                <w:bCs/>
                <w:i/>
                <w:color w:val="000000"/>
                <w:sz w:val="44"/>
                <w:szCs w:val="44"/>
                <w:lang w:eastAsia="sk-SK"/>
              </w:rPr>
              <w:t>Oprávnené náklady</w:t>
            </w:r>
          </w:p>
        </w:tc>
      </w:tr>
    </w:tbl>
    <w:p w14:paraId="6C419681" w14:textId="77777777" w:rsidR="000C0EA1" w:rsidRDefault="000C0EA1" w:rsidP="000C0EA1"/>
    <w:p w14:paraId="2B37CF9F" w14:textId="77777777" w:rsidR="000C0EA1" w:rsidRDefault="000C0EA1" w:rsidP="000C0EA1"/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2620"/>
      </w:tblGrid>
      <w:tr w:rsidR="000C0EA1" w14:paraId="64BCA37E" w14:textId="77777777" w:rsidTr="000C0EA1">
        <w:trPr>
          <w:trHeight w:val="402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24CAE0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1. Spotreba materiálu spolu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7987AB1E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131498,01</w:t>
            </w:r>
          </w:p>
        </w:tc>
      </w:tr>
      <w:tr w:rsidR="000C0EA1" w14:paraId="0C8B9A9A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D913E2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potraviny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29DC894A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53859,08</w:t>
            </w:r>
          </w:p>
        </w:tc>
      </w:tr>
      <w:tr w:rsidR="000C0EA1" w14:paraId="0471E6D1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B6BAB1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krmivo, potreby pre zvieratá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172513B6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8742,35</w:t>
            </w:r>
          </w:p>
        </w:tc>
      </w:tr>
      <w:tr w:rsidR="000C0EA1" w14:paraId="32E35F66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B08E29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záhrada - osivá, sadenice, </w:t>
            </w:r>
            <w:proofErr w:type="spellStart"/>
            <w:r>
              <w:rPr>
                <w:lang w:eastAsia="sk-SK"/>
              </w:rPr>
              <w:t>zahr</w:t>
            </w:r>
            <w:proofErr w:type="spellEnd"/>
            <w:r>
              <w:rPr>
                <w:lang w:eastAsia="sk-SK"/>
              </w:rPr>
              <w:t>. pomôcky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04A7125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621,84</w:t>
            </w:r>
          </w:p>
        </w:tc>
      </w:tr>
      <w:tr w:rsidR="000C0EA1" w14:paraId="581FC3E8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CFA66B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nákup zvierat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543032F5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63,75</w:t>
            </w:r>
          </w:p>
        </w:tc>
      </w:tr>
      <w:tr w:rsidR="000C0EA1" w14:paraId="07DE8A5B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AB927E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PHL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21FC53D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9332,27</w:t>
            </w:r>
          </w:p>
        </w:tc>
      </w:tr>
      <w:tr w:rsidR="000C0EA1" w14:paraId="6DC29A1A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6E8CB0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čistiace,dezinfekčné</w:t>
            </w:r>
            <w:proofErr w:type="spellEnd"/>
            <w:r>
              <w:rPr>
                <w:lang w:eastAsia="sk-SK"/>
              </w:rPr>
              <w:t xml:space="preserve"> prostriedky; drogéria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4F182EA7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1596,33</w:t>
            </w:r>
          </w:p>
        </w:tc>
      </w:tr>
      <w:tr w:rsidR="000C0EA1" w14:paraId="440A859D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9EC4B0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literatúra, časopis, noviny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2EEC8DD9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450,12</w:t>
            </w:r>
          </w:p>
        </w:tc>
      </w:tr>
      <w:tr w:rsidR="000C0EA1" w14:paraId="68CD1117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B4B252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spotrebný drobný materiál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4929EF45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12644,91</w:t>
            </w:r>
          </w:p>
        </w:tc>
      </w:tr>
      <w:tr w:rsidR="000C0EA1" w14:paraId="69EAB2D1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159632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kancelárske potreby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D2FB2CA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1046,86</w:t>
            </w:r>
          </w:p>
        </w:tc>
      </w:tr>
      <w:tr w:rsidR="000C0EA1" w14:paraId="00D1053E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DAE80C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zdravotnícke potreby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4804F252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1959,24</w:t>
            </w:r>
          </w:p>
        </w:tc>
      </w:tr>
      <w:tr w:rsidR="000C0EA1" w14:paraId="03383CA7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C2B9A4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prac.náradie</w:t>
            </w:r>
            <w:proofErr w:type="spellEnd"/>
            <w:r>
              <w:rPr>
                <w:lang w:eastAsia="sk-SK"/>
              </w:rPr>
              <w:t xml:space="preserve">, </w:t>
            </w:r>
            <w:proofErr w:type="spellStart"/>
            <w:r>
              <w:rPr>
                <w:lang w:eastAsia="sk-SK"/>
              </w:rPr>
              <w:t>ochr.prostr</w:t>
            </w:r>
            <w:proofErr w:type="spellEnd"/>
            <w:r>
              <w:rPr>
                <w:lang w:eastAsia="sk-SK"/>
              </w:rPr>
              <w:t xml:space="preserve">. a </w:t>
            </w:r>
            <w:proofErr w:type="spellStart"/>
            <w:r>
              <w:rPr>
                <w:lang w:eastAsia="sk-SK"/>
              </w:rPr>
              <w:t>prac.oblečenie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258C987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2014,69</w:t>
            </w:r>
          </w:p>
        </w:tc>
      </w:tr>
      <w:tr w:rsidR="000C0EA1" w14:paraId="2215C21A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7B88C5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bielizeň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13AA696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1395,96</w:t>
            </w:r>
          </w:p>
        </w:tc>
      </w:tr>
      <w:tr w:rsidR="000C0EA1" w14:paraId="25DFA53C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C431B8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potreby k terapii klientov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7CB42440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240,05</w:t>
            </w:r>
          </w:p>
        </w:tc>
      </w:tr>
      <w:tr w:rsidR="000C0EA1" w14:paraId="005C340A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D2BD8D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DHM do 1700 Eur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22BE7A07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19778,21</w:t>
            </w:r>
          </w:p>
        </w:tc>
      </w:tr>
      <w:tr w:rsidR="000C0EA1" w14:paraId="3582C837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4520C6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potreby do kuchyne a jedálne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3072E2A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4729,41</w:t>
            </w:r>
          </w:p>
        </w:tc>
      </w:tr>
      <w:tr w:rsidR="000C0EA1" w14:paraId="1F631812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7C057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zariadenie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5CAACC0E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3584,14</w:t>
            </w:r>
          </w:p>
        </w:tc>
      </w:tr>
      <w:tr w:rsidR="000C0EA1" w14:paraId="527AE6F7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9F1BFE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spotr.mater.na </w:t>
            </w:r>
            <w:proofErr w:type="spellStart"/>
            <w:r>
              <w:rPr>
                <w:lang w:eastAsia="sk-SK"/>
              </w:rPr>
              <w:t>údrž</w:t>
            </w:r>
            <w:proofErr w:type="spellEnd"/>
            <w:r>
              <w:rPr>
                <w:lang w:eastAsia="sk-SK"/>
              </w:rPr>
              <w:t>. budov, objektov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E01B49D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6788,28</w:t>
            </w:r>
          </w:p>
        </w:tc>
      </w:tr>
      <w:tr w:rsidR="000C0EA1" w14:paraId="5A317404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FB7C5A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spotr.mater.na </w:t>
            </w:r>
            <w:proofErr w:type="spellStart"/>
            <w:r>
              <w:rPr>
                <w:lang w:eastAsia="sk-SK"/>
              </w:rPr>
              <w:t>údrž</w:t>
            </w:r>
            <w:proofErr w:type="spellEnd"/>
            <w:r>
              <w:rPr>
                <w:lang w:eastAsia="sk-SK"/>
              </w:rPr>
              <w:t>. strojov a prístrojov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7DDE74BD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927,00</w:t>
            </w:r>
          </w:p>
        </w:tc>
      </w:tr>
      <w:tr w:rsidR="000C0EA1" w14:paraId="031AB81B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3C92F2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spotr.mater.na </w:t>
            </w:r>
            <w:proofErr w:type="spellStart"/>
            <w:r>
              <w:rPr>
                <w:lang w:eastAsia="sk-SK"/>
              </w:rPr>
              <w:t>údrž</w:t>
            </w:r>
            <w:proofErr w:type="spellEnd"/>
            <w:r>
              <w:rPr>
                <w:lang w:eastAsia="sk-SK"/>
              </w:rPr>
              <w:t xml:space="preserve">. dopr. </w:t>
            </w:r>
            <w:proofErr w:type="spellStart"/>
            <w:r>
              <w:rPr>
                <w:lang w:eastAsia="sk-SK"/>
              </w:rPr>
              <w:t>prostr</w:t>
            </w:r>
            <w:proofErr w:type="spellEnd"/>
            <w:r>
              <w:rPr>
                <w:lang w:eastAsia="sk-SK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4CDE316B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1016,16</w:t>
            </w:r>
          </w:p>
        </w:tc>
      </w:tr>
      <w:tr w:rsidR="000C0EA1" w14:paraId="0B5E07DF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159C4E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spotr.mater.na </w:t>
            </w:r>
            <w:proofErr w:type="spellStart"/>
            <w:r>
              <w:rPr>
                <w:lang w:eastAsia="sk-SK"/>
              </w:rPr>
              <w:t>údrž</w:t>
            </w:r>
            <w:proofErr w:type="spellEnd"/>
            <w:r>
              <w:rPr>
                <w:lang w:eastAsia="sk-SK"/>
              </w:rPr>
              <w:t>. Interiéru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5F1A3487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491,71</w:t>
            </w:r>
          </w:p>
        </w:tc>
      </w:tr>
      <w:tr w:rsidR="000C0EA1" w14:paraId="47585091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60ADE9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propán-bután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4FC8A73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32,40</w:t>
            </w:r>
          </w:p>
        </w:tc>
      </w:tr>
      <w:tr w:rsidR="000C0EA1" w14:paraId="2FD81535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17AF02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osobná spotreba klientov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01A19B86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183,25</w:t>
            </w:r>
          </w:p>
        </w:tc>
      </w:tr>
      <w:tr w:rsidR="000C0EA1" w14:paraId="396E0642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B26E92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2. Spotreba energie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4B488DA0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15143,91</w:t>
            </w:r>
          </w:p>
        </w:tc>
      </w:tr>
      <w:tr w:rsidR="000C0EA1" w14:paraId="14B83556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F2ECF0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elektrická energia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1E78A0A9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12007,58</w:t>
            </w:r>
          </w:p>
        </w:tc>
      </w:tr>
      <w:tr w:rsidR="000C0EA1" w14:paraId="1679AD3E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E2D1B8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vodné a stočné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0D9489DD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2161,13</w:t>
            </w:r>
          </w:p>
        </w:tc>
      </w:tr>
      <w:tr w:rsidR="000C0EA1" w14:paraId="087C823E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F7E1B7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plyn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449AFA2E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805,20</w:t>
            </w:r>
          </w:p>
        </w:tc>
      </w:tr>
      <w:tr w:rsidR="000C0EA1" w14:paraId="1BD15FA1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9D3B99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teplo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4A042377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170,00</w:t>
            </w:r>
          </w:p>
        </w:tc>
      </w:tr>
      <w:tr w:rsidR="000C0EA1" w14:paraId="56355883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4E5D55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3. Opravy a udržiavanie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B5F6869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13219,30</w:t>
            </w:r>
          </w:p>
        </w:tc>
      </w:tr>
      <w:tr w:rsidR="000C0EA1" w14:paraId="0C9612B9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9187A9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budovy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050E31B8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1616,53</w:t>
            </w:r>
          </w:p>
        </w:tc>
      </w:tr>
      <w:tr w:rsidR="000C0EA1" w14:paraId="7E672AA7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59037E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dopr. prostriedky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15E7F322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8815,68</w:t>
            </w:r>
          </w:p>
        </w:tc>
      </w:tr>
      <w:tr w:rsidR="000C0EA1" w14:paraId="626DDA38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DC3790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stroje, prístroje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594C628E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2408,28</w:t>
            </w:r>
          </w:p>
        </w:tc>
      </w:tr>
      <w:tr w:rsidR="000C0EA1" w14:paraId="5F1AD011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59811E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ostatné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23BB2F85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378,81</w:t>
            </w:r>
          </w:p>
        </w:tc>
      </w:tr>
      <w:tr w:rsidR="000C0EA1" w14:paraId="46C4655F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ACF258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4. Cestovné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5FD9EF76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222,46</w:t>
            </w:r>
          </w:p>
        </w:tc>
      </w:tr>
      <w:tr w:rsidR="000C0EA1" w14:paraId="5B4BD871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71CFBD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5. Ostatné služby spolu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43B8AE1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65272,96</w:t>
            </w:r>
          </w:p>
        </w:tc>
      </w:tr>
      <w:tr w:rsidR="000C0EA1" w14:paraId="0C998141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BB46D0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nájomné budovy, kancelária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6985249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26635,88</w:t>
            </w:r>
          </w:p>
        </w:tc>
      </w:tr>
      <w:tr w:rsidR="000C0EA1" w14:paraId="5FE51DD7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006012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nájomné dopr. prostriedky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41727AFD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3149,40</w:t>
            </w:r>
          </w:p>
        </w:tc>
      </w:tr>
      <w:tr w:rsidR="000C0EA1" w14:paraId="00167E54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B6AA74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dialničná</w:t>
            </w:r>
            <w:proofErr w:type="spellEnd"/>
            <w:r>
              <w:rPr>
                <w:lang w:eastAsia="sk-SK"/>
              </w:rPr>
              <w:t xml:space="preserve"> známka, mýto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41B60CD1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-10,40</w:t>
            </w:r>
          </w:p>
        </w:tc>
      </w:tr>
      <w:tr w:rsidR="000C0EA1" w14:paraId="67AB9697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F90C2B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poštovné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254BB8A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458,80</w:t>
            </w:r>
          </w:p>
        </w:tc>
      </w:tr>
      <w:tr w:rsidR="000C0EA1" w14:paraId="7C804C07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BD098E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telefon</w:t>
            </w:r>
            <w:proofErr w:type="spellEnd"/>
            <w:r>
              <w:rPr>
                <w:lang w:eastAsia="sk-SK"/>
              </w:rPr>
              <w:t xml:space="preserve"> (pevná linka, mobil)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B24593D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1792,21</w:t>
            </w:r>
          </w:p>
        </w:tc>
      </w:tr>
      <w:tr w:rsidR="000C0EA1" w14:paraId="3BD0979D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F1A4B3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internet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148401E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533,34</w:t>
            </w:r>
          </w:p>
        </w:tc>
      </w:tr>
      <w:tr w:rsidR="000C0EA1" w14:paraId="06E22C41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553E45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údržba software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7D42CDE8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344,91</w:t>
            </w:r>
          </w:p>
        </w:tc>
      </w:tr>
      <w:tr w:rsidR="000C0EA1" w14:paraId="2D8BAA47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C86D8A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veterinár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7D1F1C3F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2562,63</w:t>
            </w:r>
          </w:p>
        </w:tc>
      </w:tr>
      <w:tr w:rsidR="000C0EA1" w14:paraId="0D53D2A1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103657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vzdelávanie, predplatné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23018B90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1759,04</w:t>
            </w:r>
          </w:p>
        </w:tc>
      </w:tr>
      <w:tr w:rsidR="000C0EA1" w14:paraId="65B56D95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C4309F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zdrav. služby-</w:t>
            </w:r>
            <w:proofErr w:type="spellStart"/>
            <w:r>
              <w:rPr>
                <w:lang w:eastAsia="sk-SK"/>
              </w:rPr>
              <w:t>popl</w:t>
            </w:r>
            <w:proofErr w:type="spellEnd"/>
            <w:r>
              <w:rPr>
                <w:lang w:eastAsia="sk-SK"/>
              </w:rPr>
              <w:t>. lekári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788A1E32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372,00</w:t>
            </w:r>
          </w:p>
        </w:tc>
      </w:tr>
      <w:tr w:rsidR="000C0EA1" w14:paraId="1CD2FE4F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39CC0F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vývoz odpadu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505660F9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1656,32</w:t>
            </w:r>
          </w:p>
        </w:tc>
      </w:tr>
      <w:tr w:rsidR="000C0EA1" w14:paraId="4349AEA4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72EBF9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audit, poradenstvo, účtovníctvo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04D3900B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16186,55</w:t>
            </w:r>
          </w:p>
        </w:tc>
      </w:tr>
      <w:tr w:rsidR="000C0EA1" w14:paraId="7150B11A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DAFB4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servisné a </w:t>
            </w:r>
            <w:proofErr w:type="spellStart"/>
            <w:r>
              <w:rPr>
                <w:lang w:eastAsia="sk-SK"/>
              </w:rPr>
              <w:t>tec</w:t>
            </w:r>
            <w:proofErr w:type="spellEnd"/>
            <w:r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hnické</w:t>
            </w:r>
            <w:proofErr w:type="spellEnd"/>
            <w:r>
              <w:rPr>
                <w:lang w:eastAsia="sk-SK"/>
              </w:rPr>
              <w:t xml:space="preserve"> prehliadky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140A7C56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3250,52</w:t>
            </w:r>
          </w:p>
        </w:tc>
      </w:tr>
      <w:tr w:rsidR="000C0EA1" w14:paraId="42CA0FDE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A725AF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ost</w:t>
            </w:r>
            <w:proofErr w:type="spellEnd"/>
            <w:r>
              <w:rPr>
                <w:lang w:eastAsia="sk-SK"/>
              </w:rPr>
              <w:t>. služby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0A5D9281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6184,74</w:t>
            </w:r>
          </w:p>
        </w:tc>
      </w:tr>
      <w:tr w:rsidR="000C0EA1" w14:paraId="4752389C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CF898B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ost</w:t>
            </w:r>
            <w:proofErr w:type="spellEnd"/>
            <w:r>
              <w:rPr>
                <w:lang w:eastAsia="sk-SK"/>
              </w:rPr>
              <w:t>. služby - klienti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20DC87CB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397,02</w:t>
            </w:r>
          </w:p>
        </w:tc>
      </w:tr>
      <w:tr w:rsidR="000C0EA1" w14:paraId="5DFBBDA5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52858D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6. Mzdové náklady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50DA33A2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278203,63</w:t>
            </w:r>
          </w:p>
        </w:tc>
      </w:tr>
      <w:tr w:rsidR="000C0EA1" w14:paraId="10549579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A73D15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7. Odvody zamestnávateľa z miezd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3DF15D0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96859,98</w:t>
            </w:r>
          </w:p>
        </w:tc>
      </w:tr>
      <w:tr w:rsidR="000C0EA1" w14:paraId="5B5B25C9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F6EC52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8. Tvorba sociálneho fondu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76D4C374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1529,20</w:t>
            </w:r>
          </w:p>
        </w:tc>
      </w:tr>
      <w:tr w:rsidR="000C0EA1" w14:paraId="4709292E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C5788B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9. Zákonné </w:t>
            </w:r>
            <w:proofErr w:type="spellStart"/>
            <w:r>
              <w:rPr>
                <w:b/>
                <w:bCs/>
                <w:lang w:eastAsia="sk-SK"/>
              </w:rPr>
              <w:t>social</w:t>
            </w:r>
            <w:proofErr w:type="spellEnd"/>
            <w:r>
              <w:rPr>
                <w:b/>
                <w:bCs/>
                <w:lang w:eastAsia="sk-SK"/>
              </w:rPr>
              <w:t xml:space="preserve">. náklady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7CAE553E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3445,08</w:t>
            </w:r>
          </w:p>
        </w:tc>
      </w:tr>
      <w:tr w:rsidR="000C0EA1" w14:paraId="23F6293B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7D94B7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10. Daň z nehnuteľnosti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7DBF037F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1666,31</w:t>
            </w:r>
          </w:p>
        </w:tc>
      </w:tr>
      <w:tr w:rsidR="000C0EA1" w14:paraId="5CCC94F4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988D48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lastRenderedPageBreak/>
              <w:t>11. Ostatné dane a poplatky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870DC9F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671,39</w:t>
            </w:r>
          </w:p>
        </w:tc>
      </w:tr>
      <w:tr w:rsidR="000C0EA1" w14:paraId="039F1F0A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7B42A3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12. Osobitné náklady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26B83392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795,55</w:t>
            </w:r>
          </w:p>
        </w:tc>
      </w:tr>
      <w:tr w:rsidR="000C0EA1" w14:paraId="2E969EB6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76828D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13. Iné ostatné náklady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7F7B0C5F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8571,95</w:t>
            </w:r>
          </w:p>
        </w:tc>
      </w:tr>
      <w:tr w:rsidR="000C0EA1" w14:paraId="4F61A949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536BE1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bankové poplatky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125E86AF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846,73</w:t>
            </w:r>
          </w:p>
        </w:tc>
      </w:tr>
      <w:tr w:rsidR="000C0EA1" w14:paraId="7E91F173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A83AD2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poistné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00E57A50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7632,22</w:t>
            </w:r>
          </w:p>
        </w:tc>
      </w:tr>
      <w:tr w:rsidR="000C0EA1" w14:paraId="02845627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E8D74B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ostatné náklady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29829B1" w14:textId="77777777" w:rsidR="000C0EA1" w:rsidRDefault="000C0EA1">
            <w:pPr>
              <w:suppressAutoHyphens w:val="0"/>
              <w:spacing w:line="276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>93,00</w:t>
            </w:r>
          </w:p>
        </w:tc>
      </w:tr>
      <w:tr w:rsidR="000C0EA1" w14:paraId="521DEA55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9E9CA65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14. Odpisy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064F53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30666,78</w:t>
            </w:r>
          </w:p>
        </w:tc>
      </w:tr>
      <w:tr w:rsidR="000C0EA1" w14:paraId="16899A13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3AE25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15. </w:t>
            </w:r>
            <w:proofErr w:type="spellStart"/>
            <w:r>
              <w:rPr>
                <w:b/>
                <w:bCs/>
                <w:lang w:eastAsia="sk-SK"/>
              </w:rPr>
              <w:t>Zost</w:t>
            </w:r>
            <w:proofErr w:type="spellEnd"/>
            <w:r>
              <w:rPr>
                <w:b/>
                <w:bCs/>
                <w:lang w:eastAsia="sk-SK"/>
              </w:rPr>
              <w:t xml:space="preserve">. cena predaného </w:t>
            </w:r>
            <w:proofErr w:type="spellStart"/>
            <w:r>
              <w:rPr>
                <w:b/>
                <w:bCs/>
                <w:lang w:eastAsia="sk-SK"/>
              </w:rPr>
              <w:t>dlhod.hmot</w:t>
            </w:r>
            <w:proofErr w:type="spellEnd"/>
            <w:r>
              <w:rPr>
                <w:b/>
                <w:bCs/>
                <w:lang w:eastAsia="sk-SK"/>
              </w:rPr>
              <w:t xml:space="preserve">. a </w:t>
            </w:r>
            <w:proofErr w:type="spellStart"/>
            <w:r>
              <w:rPr>
                <w:b/>
                <w:bCs/>
                <w:lang w:eastAsia="sk-SK"/>
              </w:rPr>
              <w:t>nehm.majetku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2CB787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0,00</w:t>
            </w:r>
          </w:p>
        </w:tc>
      </w:tr>
      <w:tr w:rsidR="000C0EA1" w14:paraId="2F163697" w14:textId="77777777" w:rsidTr="000C0EA1">
        <w:trPr>
          <w:trHeight w:val="402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E89130" w14:textId="77777777" w:rsidR="000C0EA1" w:rsidRDefault="000C0EA1">
            <w:pPr>
              <w:suppressAutoHyphens w:val="0"/>
              <w:spacing w:line="276" w:lineRule="auto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16. Daň z príjmov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016A072" w14:textId="77777777" w:rsidR="000C0EA1" w:rsidRDefault="000C0EA1">
            <w:pPr>
              <w:suppressAutoHyphens w:val="0"/>
              <w:spacing w:line="276" w:lineRule="auto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119,70</w:t>
            </w:r>
          </w:p>
        </w:tc>
      </w:tr>
      <w:tr w:rsidR="000C0EA1" w14:paraId="5F99CA53" w14:textId="77777777" w:rsidTr="000C0EA1">
        <w:trPr>
          <w:trHeight w:val="66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2391E65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Celkom náklady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4FAC81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sk-SK"/>
              </w:rPr>
              <w:t>647886,21</w:t>
            </w:r>
          </w:p>
        </w:tc>
      </w:tr>
    </w:tbl>
    <w:p w14:paraId="29F3AD7E" w14:textId="77777777" w:rsidR="000C0EA1" w:rsidRDefault="000C0EA1" w:rsidP="000C0EA1"/>
    <w:p w14:paraId="04537E5D" w14:textId="77777777" w:rsidR="000C0EA1" w:rsidRDefault="000C0EA1" w:rsidP="000C0EA1"/>
    <w:tbl>
      <w:tblPr>
        <w:tblW w:w="792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971"/>
      </w:tblGrid>
      <w:tr w:rsidR="000C0EA1" w14:paraId="3DC7BE72" w14:textId="77777777" w:rsidTr="000C0EA1">
        <w:trPr>
          <w:trHeight w:val="402"/>
        </w:trPr>
        <w:tc>
          <w:tcPr>
            <w:tcW w:w="5920" w:type="dxa"/>
            <w:noWrap/>
            <w:vAlign w:val="bottom"/>
            <w:hideMark/>
          </w:tcPr>
          <w:p w14:paraId="1223631F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sk-SK"/>
              </w:rPr>
              <w:t>Výsledok hospodárenia</w:t>
            </w:r>
          </w:p>
        </w:tc>
        <w:tc>
          <w:tcPr>
            <w:tcW w:w="1960" w:type="dxa"/>
            <w:noWrap/>
            <w:vAlign w:val="center"/>
            <w:hideMark/>
          </w:tcPr>
          <w:p w14:paraId="729E4B9D" w14:textId="77777777" w:rsidR="000C0EA1" w:rsidRDefault="000C0EA1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sk-SK"/>
              </w:rPr>
              <w:t>-1493,44</w:t>
            </w:r>
          </w:p>
        </w:tc>
      </w:tr>
    </w:tbl>
    <w:p w14:paraId="32E1F15C" w14:textId="77777777" w:rsidR="000C0EA1" w:rsidRDefault="000C0EA1" w:rsidP="000C0EA1"/>
    <w:p w14:paraId="5B74A059" w14:textId="77777777" w:rsidR="000C0EA1" w:rsidRPr="00BF164F" w:rsidRDefault="000C0EA1" w:rsidP="00BF164F">
      <w:pPr>
        <w:jc w:val="both"/>
      </w:pPr>
    </w:p>
    <w:sectPr w:rsidR="000C0EA1" w:rsidRPr="00BF164F" w:rsidSect="0086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43844"/>
    <w:multiLevelType w:val="hybridMultilevel"/>
    <w:tmpl w:val="13923D68"/>
    <w:lvl w:ilvl="0" w:tplc="F9D86954">
      <w:start w:val="20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4842095"/>
    <w:multiLevelType w:val="hybridMultilevel"/>
    <w:tmpl w:val="73FABB90"/>
    <w:lvl w:ilvl="0" w:tplc="23909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C0657"/>
    <w:multiLevelType w:val="hybridMultilevel"/>
    <w:tmpl w:val="064859C8"/>
    <w:lvl w:ilvl="0" w:tplc="8752D20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22"/>
    <w:rsid w:val="000036B4"/>
    <w:rsid w:val="00003DAC"/>
    <w:rsid w:val="00004052"/>
    <w:rsid w:val="00007656"/>
    <w:rsid w:val="00013248"/>
    <w:rsid w:val="000600CE"/>
    <w:rsid w:val="00064AAD"/>
    <w:rsid w:val="00065999"/>
    <w:rsid w:val="000A220A"/>
    <w:rsid w:val="000A745C"/>
    <w:rsid w:val="000C0EA1"/>
    <w:rsid w:val="000D2ACA"/>
    <w:rsid w:val="000D7F42"/>
    <w:rsid w:val="000F5EA5"/>
    <w:rsid w:val="00130EE7"/>
    <w:rsid w:val="00147E1F"/>
    <w:rsid w:val="00183B44"/>
    <w:rsid w:val="001D3C36"/>
    <w:rsid w:val="00200A70"/>
    <w:rsid w:val="00202E84"/>
    <w:rsid w:val="00230524"/>
    <w:rsid w:val="00246553"/>
    <w:rsid w:val="00246B72"/>
    <w:rsid w:val="0027607D"/>
    <w:rsid w:val="002A7743"/>
    <w:rsid w:val="002B275C"/>
    <w:rsid w:val="002B68AA"/>
    <w:rsid w:val="002D72CD"/>
    <w:rsid w:val="002E046D"/>
    <w:rsid w:val="002F7C56"/>
    <w:rsid w:val="003106F8"/>
    <w:rsid w:val="003125FD"/>
    <w:rsid w:val="00312F26"/>
    <w:rsid w:val="00320ABB"/>
    <w:rsid w:val="0033118E"/>
    <w:rsid w:val="00344189"/>
    <w:rsid w:val="00351FBD"/>
    <w:rsid w:val="00361E95"/>
    <w:rsid w:val="00384868"/>
    <w:rsid w:val="003A3F77"/>
    <w:rsid w:val="003A798E"/>
    <w:rsid w:val="003C4465"/>
    <w:rsid w:val="003D4864"/>
    <w:rsid w:val="003D5750"/>
    <w:rsid w:val="003E04EE"/>
    <w:rsid w:val="003F235C"/>
    <w:rsid w:val="004249EF"/>
    <w:rsid w:val="0042520E"/>
    <w:rsid w:val="00431349"/>
    <w:rsid w:val="004317B6"/>
    <w:rsid w:val="00442743"/>
    <w:rsid w:val="004460C1"/>
    <w:rsid w:val="004609DD"/>
    <w:rsid w:val="00462AFA"/>
    <w:rsid w:val="00473C91"/>
    <w:rsid w:val="004748A8"/>
    <w:rsid w:val="00481446"/>
    <w:rsid w:val="00495FF5"/>
    <w:rsid w:val="004A430F"/>
    <w:rsid w:val="004A790D"/>
    <w:rsid w:val="004B0F6A"/>
    <w:rsid w:val="004B2EA4"/>
    <w:rsid w:val="004C596C"/>
    <w:rsid w:val="00501837"/>
    <w:rsid w:val="00556027"/>
    <w:rsid w:val="00571AD1"/>
    <w:rsid w:val="005926CA"/>
    <w:rsid w:val="00593CA8"/>
    <w:rsid w:val="005A66DD"/>
    <w:rsid w:val="005A7038"/>
    <w:rsid w:val="005C322E"/>
    <w:rsid w:val="005D1B19"/>
    <w:rsid w:val="005D5A1C"/>
    <w:rsid w:val="005E3325"/>
    <w:rsid w:val="005F2260"/>
    <w:rsid w:val="0063737B"/>
    <w:rsid w:val="0065780B"/>
    <w:rsid w:val="0066393E"/>
    <w:rsid w:val="00676A3A"/>
    <w:rsid w:val="006856AF"/>
    <w:rsid w:val="00687F75"/>
    <w:rsid w:val="006A3AB5"/>
    <w:rsid w:val="006A44CE"/>
    <w:rsid w:val="006A705D"/>
    <w:rsid w:val="006B1B65"/>
    <w:rsid w:val="006E670F"/>
    <w:rsid w:val="006E6AA7"/>
    <w:rsid w:val="00704B39"/>
    <w:rsid w:val="00710DD6"/>
    <w:rsid w:val="0071142D"/>
    <w:rsid w:val="00733456"/>
    <w:rsid w:val="007576F8"/>
    <w:rsid w:val="007A644F"/>
    <w:rsid w:val="007C2496"/>
    <w:rsid w:val="008071F0"/>
    <w:rsid w:val="008148A6"/>
    <w:rsid w:val="008624FA"/>
    <w:rsid w:val="00865FF0"/>
    <w:rsid w:val="008668F5"/>
    <w:rsid w:val="00866D35"/>
    <w:rsid w:val="00870F43"/>
    <w:rsid w:val="008711EB"/>
    <w:rsid w:val="008B53DF"/>
    <w:rsid w:val="008C135C"/>
    <w:rsid w:val="008D7E7D"/>
    <w:rsid w:val="008F2015"/>
    <w:rsid w:val="00935E21"/>
    <w:rsid w:val="00937A8A"/>
    <w:rsid w:val="00952C20"/>
    <w:rsid w:val="00953C2E"/>
    <w:rsid w:val="00955C4C"/>
    <w:rsid w:val="00966878"/>
    <w:rsid w:val="00971994"/>
    <w:rsid w:val="00997CB4"/>
    <w:rsid w:val="009D492D"/>
    <w:rsid w:val="00A161EF"/>
    <w:rsid w:val="00A42085"/>
    <w:rsid w:val="00A5322E"/>
    <w:rsid w:val="00A61F87"/>
    <w:rsid w:val="00AA3610"/>
    <w:rsid w:val="00AC2DD4"/>
    <w:rsid w:val="00AC4479"/>
    <w:rsid w:val="00AE271A"/>
    <w:rsid w:val="00AF11BE"/>
    <w:rsid w:val="00AF675F"/>
    <w:rsid w:val="00B015B4"/>
    <w:rsid w:val="00B124D2"/>
    <w:rsid w:val="00B177D2"/>
    <w:rsid w:val="00B41F6C"/>
    <w:rsid w:val="00B67759"/>
    <w:rsid w:val="00B72F8D"/>
    <w:rsid w:val="00B75C32"/>
    <w:rsid w:val="00B769EA"/>
    <w:rsid w:val="00B8716D"/>
    <w:rsid w:val="00BA0940"/>
    <w:rsid w:val="00BB426B"/>
    <w:rsid w:val="00BB5F2E"/>
    <w:rsid w:val="00BC0FBB"/>
    <w:rsid w:val="00BF164F"/>
    <w:rsid w:val="00BF6C28"/>
    <w:rsid w:val="00C076AA"/>
    <w:rsid w:val="00C11D1C"/>
    <w:rsid w:val="00C137E0"/>
    <w:rsid w:val="00C40ACB"/>
    <w:rsid w:val="00C42A76"/>
    <w:rsid w:val="00C47728"/>
    <w:rsid w:val="00C705ED"/>
    <w:rsid w:val="00CB6BBD"/>
    <w:rsid w:val="00CC0960"/>
    <w:rsid w:val="00CE2C85"/>
    <w:rsid w:val="00CE5AAF"/>
    <w:rsid w:val="00CF24FD"/>
    <w:rsid w:val="00D0067D"/>
    <w:rsid w:val="00D031EE"/>
    <w:rsid w:val="00D27A84"/>
    <w:rsid w:val="00D43AFE"/>
    <w:rsid w:val="00D55A22"/>
    <w:rsid w:val="00D6790E"/>
    <w:rsid w:val="00D83F84"/>
    <w:rsid w:val="00D84F55"/>
    <w:rsid w:val="00DC4A1D"/>
    <w:rsid w:val="00DD149B"/>
    <w:rsid w:val="00E0423F"/>
    <w:rsid w:val="00E46156"/>
    <w:rsid w:val="00E50E75"/>
    <w:rsid w:val="00E529E9"/>
    <w:rsid w:val="00E62504"/>
    <w:rsid w:val="00E9551D"/>
    <w:rsid w:val="00E97C28"/>
    <w:rsid w:val="00EA41FB"/>
    <w:rsid w:val="00EB607F"/>
    <w:rsid w:val="00EC09C0"/>
    <w:rsid w:val="00EF26D6"/>
    <w:rsid w:val="00F20B38"/>
    <w:rsid w:val="00F32E5C"/>
    <w:rsid w:val="00F82D09"/>
    <w:rsid w:val="00F90B92"/>
    <w:rsid w:val="00FD7765"/>
    <w:rsid w:val="00FF0096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AE9"/>
  <w15:docId w15:val="{5CF0FAA0-A316-42DF-BAEE-180FF34C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5A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D55A22"/>
    <w:pPr>
      <w:keepNext/>
      <w:suppressAutoHyphens w:val="0"/>
      <w:ind w:left="540"/>
      <w:jc w:val="both"/>
      <w:outlineLvl w:val="0"/>
    </w:pPr>
    <w:rPr>
      <w:b/>
      <w:bCs/>
      <w:i/>
      <w:iCs/>
      <w:sz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55A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D55A22"/>
    <w:pPr>
      <w:keepNext/>
      <w:suppressAutoHyphens w:val="0"/>
      <w:outlineLvl w:val="7"/>
    </w:pPr>
    <w:rPr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55A22"/>
    <w:rPr>
      <w:rFonts w:ascii="Times New Roman" w:eastAsia="Times New Roman" w:hAnsi="Times New Roman" w:cs="Times New Roman"/>
      <w:b/>
      <w:bCs/>
      <w:i/>
      <w:iCs/>
      <w:sz w:val="32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55A2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8Char">
    <w:name w:val="Nadpis 8 Char"/>
    <w:basedOn w:val="Predvolenpsmoodseku"/>
    <w:link w:val="Nadpis8"/>
    <w:semiHidden/>
    <w:rsid w:val="00D55A2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ywebov">
    <w:name w:val="Normal (Web)"/>
    <w:basedOn w:val="Normlny"/>
    <w:unhideWhenUsed/>
    <w:rsid w:val="00D55A22"/>
    <w:pPr>
      <w:suppressAutoHyphens w:val="0"/>
      <w:spacing w:before="100" w:beforeAutospacing="1" w:after="119"/>
    </w:pPr>
    <w:rPr>
      <w:rFonts w:ascii="Arial Unicode MS" w:hAnsi="Arial Unicode MS"/>
      <w:lang w:val="cs-CZ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55A2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5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007656"/>
    <w:pPr>
      <w:suppressAutoHyphens w:val="0"/>
      <w:ind w:left="720"/>
      <w:contextualSpacing/>
    </w:pPr>
    <w:rPr>
      <w:lang w:eastAsia="cs-CZ"/>
    </w:rPr>
  </w:style>
  <w:style w:type="character" w:customStyle="1" w:styleId="apple-converted-space">
    <w:name w:val="apple-converted-space"/>
    <w:basedOn w:val="Predvolenpsmoodseku"/>
    <w:rsid w:val="00007656"/>
  </w:style>
  <w:style w:type="paragraph" w:styleId="Bezriadkovania">
    <w:name w:val="No Spacing"/>
    <w:uiPriority w:val="1"/>
    <w:qFormat/>
    <w:rsid w:val="006A3AB5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16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164F"/>
    <w:rPr>
      <w:rFonts w:ascii="Tahoma" w:eastAsia="Times New Roman" w:hAnsi="Tahoma" w:cs="Tahoma"/>
      <w:sz w:val="16"/>
      <w:szCs w:val="16"/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1B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1B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6B1B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A6F02-B540-4EC9-81CB-B57163CB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Komunita Poloma</dc:creator>
  <cp:lastModifiedBy>Peter Pustý</cp:lastModifiedBy>
  <cp:revision>6</cp:revision>
  <cp:lastPrinted>2020-05-20T06:57:00Z</cp:lastPrinted>
  <dcterms:created xsi:type="dcterms:W3CDTF">2020-05-20T06:45:00Z</dcterms:created>
  <dcterms:modified xsi:type="dcterms:W3CDTF">2020-05-20T09:48:00Z</dcterms:modified>
</cp:coreProperties>
</file>